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84"/>
          <w:szCs w:val="84"/>
        </w:rPr>
      </w:pPr>
      <w:bookmarkStart w:id="43" w:name="_GoBack"/>
      <w:bookmarkEnd w:id="43"/>
    </w:p>
    <w:p>
      <w:pPr>
        <w:jc w:val="center"/>
        <w:rPr>
          <w:rFonts w:hint="eastAsia" w:ascii="宋体" w:hAnsi="宋体" w:eastAsia="宋体" w:cs="宋体"/>
          <w:b/>
          <w:bCs/>
          <w:sz w:val="84"/>
          <w:szCs w:val="84"/>
        </w:rPr>
      </w:pPr>
      <w:r>
        <w:rPr>
          <w:rFonts w:hint="eastAsia" w:ascii="宋体" w:hAnsi="宋体" w:eastAsia="宋体" w:cs="宋体"/>
          <w:b/>
          <w:bCs/>
          <w:sz w:val="84"/>
          <w:szCs w:val="84"/>
        </w:rPr>
        <w:t>永嘉县人民检察院竞争性开户</w:t>
      </w:r>
    </w:p>
    <w:p>
      <w:pPr>
        <w:widowControl/>
        <w:overflowPunct w:val="0"/>
        <w:autoSpaceDE w:val="0"/>
        <w:autoSpaceDN w:val="0"/>
        <w:adjustRightInd w:val="0"/>
        <w:spacing w:before="936" w:beforeLines="300" w:after="936" w:afterLines="300" w:line="360" w:lineRule="auto"/>
        <w:ind w:left="1240" w:hanging="1240" w:hangingChars="147"/>
        <w:jc w:val="center"/>
        <w:textAlignment w:val="baseline"/>
        <w:rPr>
          <w:rFonts w:ascii="宋体" w:hAnsi="宋体" w:eastAsia="宋体" w:cs="Arial"/>
          <w:b/>
          <w:bCs/>
          <w:snapToGrid w:val="0"/>
          <w:kern w:val="0"/>
          <w:sz w:val="84"/>
          <w:szCs w:val="84"/>
        </w:rPr>
      </w:pPr>
      <w:r>
        <w:rPr>
          <w:rFonts w:hint="eastAsia" w:ascii="宋体" w:hAnsi="宋体" w:eastAsia="宋体" w:cs="Arial"/>
          <w:b/>
          <w:bCs/>
          <w:snapToGrid w:val="0"/>
          <w:kern w:val="0"/>
          <w:sz w:val="84"/>
          <w:szCs w:val="84"/>
        </w:rPr>
        <w:t>招标文件</w:t>
      </w:r>
    </w:p>
    <w:p>
      <w:pPr>
        <w:spacing w:line="596" w:lineRule="exact"/>
        <w:rPr>
          <w:rFonts w:ascii="仿宋_GB2312" w:hAnsi="Times New Roman" w:eastAsia="仿宋_GB2312" w:cs="Times New Roman"/>
          <w:sz w:val="30"/>
          <w:szCs w:val="30"/>
        </w:rPr>
      </w:pPr>
    </w:p>
    <w:tbl>
      <w:tblPr>
        <w:tblStyle w:val="13"/>
        <w:tblW w:w="8049" w:type="dxa"/>
        <w:jc w:val="center"/>
        <w:tblLayout w:type="fixed"/>
        <w:tblCellMar>
          <w:top w:w="0" w:type="dxa"/>
          <w:left w:w="108" w:type="dxa"/>
          <w:bottom w:w="0" w:type="dxa"/>
          <w:right w:w="108" w:type="dxa"/>
        </w:tblCellMar>
      </w:tblPr>
      <w:tblGrid>
        <w:gridCol w:w="1639"/>
        <w:gridCol w:w="6410"/>
      </w:tblGrid>
      <w:tr>
        <w:tblPrEx>
          <w:tblCellMar>
            <w:top w:w="0" w:type="dxa"/>
            <w:left w:w="108" w:type="dxa"/>
            <w:bottom w:w="0" w:type="dxa"/>
            <w:right w:w="108" w:type="dxa"/>
          </w:tblCellMar>
        </w:tblPrEx>
        <w:trPr>
          <w:trHeight w:val="556" w:hRule="atLeast"/>
          <w:jc w:val="center"/>
        </w:trPr>
        <w:tc>
          <w:tcPr>
            <w:tcW w:w="1639" w:type="dxa"/>
            <w:vAlign w:val="center"/>
          </w:tcPr>
          <w:p>
            <w:pPr>
              <w:widowControl/>
              <w:overflowPunct w:val="0"/>
              <w:autoSpaceDE w:val="0"/>
              <w:autoSpaceDN w:val="0"/>
              <w:adjustRightInd w:val="0"/>
              <w:spacing w:line="360" w:lineRule="auto"/>
              <w:textAlignment w:val="baseline"/>
              <w:rPr>
                <w:rFonts w:ascii="宋体" w:hAnsi="宋体" w:eastAsia="宋体" w:cs="Arial"/>
                <w:b/>
                <w:snapToGrid w:val="0"/>
                <w:kern w:val="0"/>
                <w:sz w:val="30"/>
                <w:szCs w:val="30"/>
              </w:rPr>
            </w:pPr>
            <w:r>
              <w:rPr>
                <w:rFonts w:hint="eastAsia" w:ascii="宋体" w:hAnsi="宋体" w:eastAsia="宋体" w:cs="Arial"/>
                <w:b/>
                <w:snapToGrid w:val="0"/>
                <w:kern w:val="0"/>
                <w:sz w:val="30"/>
                <w:szCs w:val="30"/>
              </w:rPr>
              <w:t>招标编号:</w:t>
            </w:r>
          </w:p>
        </w:tc>
        <w:tc>
          <w:tcPr>
            <w:tcW w:w="6410" w:type="dxa"/>
            <w:vAlign w:val="center"/>
          </w:tcPr>
          <w:p>
            <w:pPr>
              <w:widowControl/>
              <w:overflowPunct w:val="0"/>
              <w:autoSpaceDE w:val="0"/>
              <w:autoSpaceDN w:val="0"/>
              <w:adjustRightInd w:val="0"/>
              <w:spacing w:line="360" w:lineRule="auto"/>
              <w:textAlignment w:val="baseline"/>
              <w:rPr>
                <w:rFonts w:ascii="宋体" w:hAnsi="宋体" w:eastAsia="宋体" w:cs="Arial"/>
                <w:snapToGrid w:val="0"/>
                <w:kern w:val="0"/>
                <w:sz w:val="30"/>
                <w:szCs w:val="30"/>
              </w:rPr>
            </w:pPr>
            <w:r>
              <w:rPr>
                <w:rFonts w:hint="eastAsia" w:ascii="宋体" w:hAnsi="宋体" w:eastAsia="宋体" w:cs="Arial"/>
                <w:snapToGrid w:val="0"/>
                <w:kern w:val="0"/>
                <w:sz w:val="30"/>
                <w:szCs w:val="30"/>
              </w:rPr>
              <w:t>YJJCY-20231020</w:t>
            </w:r>
          </w:p>
        </w:tc>
      </w:tr>
      <w:tr>
        <w:tblPrEx>
          <w:tblCellMar>
            <w:top w:w="0" w:type="dxa"/>
            <w:left w:w="108" w:type="dxa"/>
            <w:bottom w:w="0" w:type="dxa"/>
            <w:right w:w="108" w:type="dxa"/>
          </w:tblCellMar>
        </w:tblPrEx>
        <w:trPr>
          <w:trHeight w:val="840" w:hRule="atLeast"/>
          <w:jc w:val="center"/>
        </w:trPr>
        <w:tc>
          <w:tcPr>
            <w:tcW w:w="1639" w:type="dxa"/>
            <w:vAlign w:val="center"/>
          </w:tcPr>
          <w:p>
            <w:pPr>
              <w:widowControl/>
              <w:overflowPunct w:val="0"/>
              <w:autoSpaceDE w:val="0"/>
              <w:autoSpaceDN w:val="0"/>
              <w:adjustRightInd w:val="0"/>
              <w:snapToGrid w:val="0"/>
              <w:spacing w:line="360" w:lineRule="auto"/>
              <w:textAlignment w:val="baseline"/>
              <w:rPr>
                <w:rFonts w:ascii="宋体" w:hAnsi="宋体" w:eastAsia="宋体" w:cs="Arial"/>
                <w:b/>
                <w:snapToGrid w:val="0"/>
                <w:kern w:val="0"/>
                <w:sz w:val="30"/>
                <w:szCs w:val="30"/>
              </w:rPr>
            </w:pPr>
            <w:r>
              <w:rPr>
                <w:rFonts w:hint="eastAsia" w:ascii="宋体" w:hAnsi="宋体" w:eastAsia="宋体" w:cs="Arial"/>
                <w:b/>
                <w:snapToGrid w:val="0"/>
                <w:kern w:val="0"/>
                <w:sz w:val="30"/>
                <w:szCs w:val="30"/>
              </w:rPr>
              <w:t>招标项目：</w:t>
            </w:r>
          </w:p>
        </w:tc>
        <w:tc>
          <w:tcPr>
            <w:tcW w:w="6410" w:type="dxa"/>
            <w:vAlign w:val="center"/>
          </w:tcPr>
          <w:p>
            <w:pPr>
              <w:widowControl/>
              <w:overflowPunct w:val="0"/>
              <w:autoSpaceDE w:val="0"/>
              <w:autoSpaceDN w:val="0"/>
              <w:adjustRightInd w:val="0"/>
              <w:snapToGrid w:val="0"/>
              <w:spacing w:line="360" w:lineRule="auto"/>
              <w:textAlignment w:val="baseline"/>
              <w:rPr>
                <w:rFonts w:ascii="宋体" w:hAnsi="宋体" w:eastAsia="宋体" w:cs="Arial"/>
                <w:snapToGrid w:val="0"/>
                <w:kern w:val="0"/>
                <w:sz w:val="30"/>
                <w:szCs w:val="30"/>
              </w:rPr>
            </w:pPr>
            <w:r>
              <w:rPr>
                <w:rFonts w:hint="eastAsia" w:ascii="宋体" w:hAnsi="宋体" w:eastAsia="宋体" w:cs="Arial"/>
                <w:kern w:val="0"/>
                <w:sz w:val="30"/>
                <w:szCs w:val="30"/>
              </w:rPr>
              <w:t>永嘉县人民检察院涉案暂扣款专户竞争性开户</w:t>
            </w:r>
          </w:p>
        </w:tc>
      </w:tr>
      <w:tr>
        <w:tblPrEx>
          <w:tblCellMar>
            <w:top w:w="0" w:type="dxa"/>
            <w:left w:w="108" w:type="dxa"/>
            <w:bottom w:w="0" w:type="dxa"/>
            <w:right w:w="108" w:type="dxa"/>
          </w:tblCellMar>
        </w:tblPrEx>
        <w:trPr>
          <w:trHeight w:val="556" w:hRule="atLeast"/>
          <w:jc w:val="center"/>
        </w:trPr>
        <w:tc>
          <w:tcPr>
            <w:tcW w:w="1639" w:type="dxa"/>
            <w:vAlign w:val="center"/>
          </w:tcPr>
          <w:p>
            <w:pPr>
              <w:widowControl/>
              <w:overflowPunct w:val="0"/>
              <w:autoSpaceDE w:val="0"/>
              <w:autoSpaceDN w:val="0"/>
              <w:adjustRightInd w:val="0"/>
              <w:spacing w:line="360" w:lineRule="auto"/>
              <w:textAlignment w:val="baseline"/>
              <w:rPr>
                <w:rFonts w:ascii="宋体" w:hAnsi="宋体" w:eastAsia="宋体" w:cs="Arial"/>
                <w:b/>
                <w:snapToGrid w:val="0"/>
                <w:kern w:val="0"/>
                <w:sz w:val="30"/>
                <w:szCs w:val="30"/>
              </w:rPr>
            </w:pPr>
            <w:r>
              <w:rPr>
                <w:rFonts w:hint="eastAsia" w:ascii="宋体" w:hAnsi="宋体" w:eastAsia="宋体" w:cs="Arial"/>
                <w:b/>
                <w:snapToGrid w:val="0"/>
                <w:kern w:val="0"/>
                <w:sz w:val="30"/>
                <w:szCs w:val="30"/>
              </w:rPr>
              <w:t>招标方式：</w:t>
            </w:r>
          </w:p>
        </w:tc>
        <w:tc>
          <w:tcPr>
            <w:tcW w:w="6410" w:type="dxa"/>
            <w:vAlign w:val="center"/>
          </w:tcPr>
          <w:p>
            <w:pPr>
              <w:widowControl/>
              <w:overflowPunct w:val="0"/>
              <w:autoSpaceDE w:val="0"/>
              <w:autoSpaceDN w:val="0"/>
              <w:adjustRightInd w:val="0"/>
              <w:spacing w:line="360" w:lineRule="auto"/>
              <w:textAlignment w:val="baseline"/>
              <w:rPr>
                <w:rFonts w:ascii="宋体" w:hAnsi="宋体" w:eastAsia="宋体" w:cs="Arial"/>
                <w:snapToGrid w:val="0"/>
                <w:kern w:val="0"/>
                <w:sz w:val="30"/>
                <w:szCs w:val="30"/>
              </w:rPr>
            </w:pPr>
            <w:r>
              <w:rPr>
                <w:rFonts w:hint="eastAsia" w:ascii="宋体" w:hAnsi="宋体" w:eastAsia="宋体" w:cs="Arial"/>
                <w:snapToGrid w:val="0"/>
                <w:kern w:val="0"/>
                <w:sz w:val="30"/>
                <w:szCs w:val="30"/>
              </w:rPr>
              <w:t>公  开  招  标</w:t>
            </w:r>
          </w:p>
        </w:tc>
      </w:tr>
    </w:tbl>
    <w:p>
      <w:pPr>
        <w:widowControl/>
        <w:overflowPunct w:val="0"/>
        <w:autoSpaceDE w:val="0"/>
        <w:autoSpaceDN w:val="0"/>
        <w:adjustRightInd w:val="0"/>
        <w:spacing w:line="360" w:lineRule="auto"/>
        <w:textAlignment w:val="baseline"/>
        <w:rPr>
          <w:rFonts w:ascii="宋体" w:hAnsi="宋体" w:eastAsia="宋体" w:cs="Arial"/>
          <w:b/>
          <w:snapToGrid w:val="0"/>
          <w:kern w:val="0"/>
          <w:sz w:val="30"/>
          <w:szCs w:val="30"/>
        </w:rPr>
      </w:pPr>
    </w:p>
    <w:p>
      <w:pPr>
        <w:widowControl/>
        <w:overflowPunct w:val="0"/>
        <w:autoSpaceDE w:val="0"/>
        <w:autoSpaceDN w:val="0"/>
        <w:adjustRightInd w:val="0"/>
        <w:spacing w:line="360" w:lineRule="auto"/>
        <w:textAlignment w:val="baseline"/>
        <w:rPr>
          <w:rFonts w:ascii="宋体" w:hAnsi="宋体" w:eastAsia="宋体" w:cs="Arial"/>
          <w:b/>
          <w:snapToGrid w:val="0"/>
          <w:kern w:val="0"/>
          <w:sz w:val="30"/>
          <w:szCs w:val="30"/>
        </w:rPr>
      </w:pPr>
    </w:p>
    <w:tbl>
      <w:tblPr>
        <w:tblStyle w:val="13"/>
        <w:tblW w:w="6523" w:type="dxa"/>
        <w:jc w:val="center"/>
        <w:tblLayout w:type="fixed"/>
        <w:tblCellMar>
          <w:top w:w="0" w:type="dxa"/>
          <w:left w:w="108" w:type="dxa"/>
          <w:bottom w:w="0" w:type="dxa"/>
          <w:right w:w="108" w:type="dxa"/>
        </w:tblCellMar>
      </w:tblPr>
      <w:tblGrid>
        <w:gridCol w:w="1701"/>
        <w:gridCol w:w="4822"/>
      </w:tblGrid>
      <w:tr>
        <w:tblPrEx>
          <w:tblCellMar>
            <w:top w:w="0" w:type="dxa"/>
            <w:left w:w="108" w:type="dxa"/>
            <w:bottom w:w="0" w:type="dxa"/>
            <w:right w:w="108" w:type="dxa"/>
          </w:tblCellMar>
        </w:tblPrEx>
        <w:trPr>
          <w:trHeight w:val="510" w:hRule="atLeast"/>
          <w:jc w:val="center"/>
        </w:trPr>
        <w:tc>
          <w:tcPr>
            <w:tcW w:w="1701" w:type="dxa"/>
            <w:vAlign w:val="center"/>
          </w:tcPr>
          <w:p>
            <w:pPr>
              <w:widowControl/>
              <w:overflowPunct w:val="0"/>
              <w:autoSpaceDE w:val="0"/>
              <w:autoSpaceDN w:val="0"/>
              <w:adjustRightInd w:val="0"/>
              <w:spacing w:line="360" w:lineRule="auto"/>
              <w:textAlignment w:val="baseline"/>
              <w:rPr>
                <w:rFonts w:ascii="宋体" w:hAnsi="宋体" w:eastAsia="宋体" w:cs="Arial"/>
                <w:b/>
                <w:snapToGrid w:val="0"/>
                <w:kern w:val="0"/>
                <w:sz w:val="30"/>
                <w:szCs w:val="30"/>
              </w:rPr>
            </w:pPr>
            <w:r>
              <w:rPr>
                <w:rFonts w:hint="eastAsia" w:ascii="宋体" w:hAnsi="宋体" w:eastAsia="宋体" w:cs="Arial"/>
                <w:b/>
                <w:snapToGrid w:val="0"/>
                <w:kern w:val="0"/>
                <w:sz w:val="30"/>
                <w:szCs w:val="30"/>
              </w:rPr>
              <w:t>招 标 人:</w:t>
            </w:r>
          </w:p>
        </w:tc>
        <w:tc>
          <w:tcPr>
            <w:tcW w:w="4822" w:type="dxa"/>
            <w:vAlign w:val="center"/>
          </w:tcPr>
          <w:p>
            <w:pPr>
              <w:widowControl/>
              <w:overflowPunct w:val="0"/>
              <w:autoSpaceDE w:val="0"/>
              <w:autoSpaceDN w:val="0"/>
              <w:adjustRightInd w:val="0"/>
              <w:spacing w:line="360" w:lineRule="auto"/>
              <w:jc w:val="distribute"/>
              <w:textAlignment w:val="baseline"/>
              <w:rPr>
                <w:rFonts w:ascii="宋体" w:hAnsi="宋体" w:eastAsia="宋体" w:cs="Arial"/>
                <w:snapToGrid w:val="0"/>
                <w:kern w:val="0"/>
                <w:sz w:val="30"/>
                <w:szCs w:val="30"/>
              </w:rPr>
            </w:pPr>
            <w:r>
              <w:rPr>
                <w:rFonts w:hint="eastAsia" w:ascii="宋体" w:hAnsi="宋体" w:eastAsia="宋体" w:cs="Arial"/>
                <w:b/>
                <w:snapToGrid w:val="0"/>
                <w:kern w:val="0"/>
                <w:sz w:val="30"/>
                <w:szCs w:val="30"/>
              </w:rPr>
              <w:t>永嘉县人民检察院</w:t>
            </w:r>
          </w:p>
        </w:tc>
      </w:tr>
      <w:tr>
        <w:tblPrEx>
          <w:tblCellMar>
            <w:top w:w="0" w:type="dxa"/>
            <w:left w:w="108" w:type="dxa"/>
            <w:bottom w:w="0" w:type="dxa"/>
            <w:right w:w="108" w:type="dxa"/>
          </w:tblCellMar>
        </w:tblPrEx>
        <w:trPr>
          <w:trHeight w:val="510" w:hRule="atLeast"/>
          <w:jc w:val="center"/>
        </w:trPr>
        <w:tc>
          <w:tcPr>
            <w:tcW w:w="1701" w:type="dxa"/>
            <w:vAlign w:val="center"/>
          </w:tcPr>
          <w:p>
            <w:pPr>
              <w:widowControl/>
              <w:overflowPunct w:val="0"/>
              <w:autoSpaceDE w:val="0"/>
              <w:autoSpaceDN w:val="0"/>
              <w:adjustRightInd w:val="0"/>
              <w:spacing w:line="360" w:lineRule="auto"/>
              <w:ind w:right="-225" w:rightChars="-107"/>
              <w:textAlignment w:val="baseline"/>
              <w:rPr>
                <w:rFonts w:ascii="宋体" w:hAnsi="宋体" w:eastAsia="宋体" w:cs="Arial"/>
                <w:b/>
                <w:snapToGrid w:val="0"/>
                <w:kern w:val="0"/>
                <w:sz w:val="30"/>
                <w:szCs w:val="30"/>
              </w:rPr>
            </w:pPr>
            <w:r>
              <w:rPr>
                <w:rFonts w:hint="eastAsia" w:ascii="宋体" w:hAnsi="宋体" w:eastAsia="宋体" w:cs="Arial"/>
                <w:b/>
                <w:snapToGrid w:val="0"/>
                <w:kern w:val="0"/>
                <w:sz w:val="30"/>
                <w:szCs w:val="30"/>
              </w:rPr>
              <w:t>采购代理：</w:t>
            </w:r>
          </w:p>
        </w:tc>
        <w:tc>
          <w:tcPr>
            <w:tcW w:w="4822" w:type="dxa"/>
            <w:vAlign w:val="center"/>
          </w:tcPr>
          <w:p>
            <w:pPr>
              <w:widowControl/>
              <w:overflowPunct w:val="0"/>
              <w:autoSpaceDE w:val="0"/>
              <w:autoSpaceDN w:val="0"/>
              <w:adjustRightInd w:val="0"/>
              <w:spacing w:line="360" w:lineRule="auto"/>
              <w:jc w:val="distribute"/>
              <w:textAlignment w:val="baseline"/>
              <w:rPr>
                <w:rFonts w:ascii="宋体" w:hAnsi="宋体" w:eastAsia="宋体" w:cs="Arial"/>
                <w:b/>
                <w:snapToGrid w:val="0"/>
                <w:kern w:val="0"/>
                <w:sz w:val="30"/>
                <w:szCs w:val="30"/>
              </w:rPr>
            </w:pPr>
            <w:r>
              <w:rPr>
                <w:rFonts w:hint="eastAsia" w:ascii="宋体" w:hAnsi="宋体" w:eastAsia="宋体" w:cs="Arial"/>
                <w:b/>
                <w:snapToGrid w:val="0"/>
                <w:kern w:val="0"/>
                <w:sz w:val="30"/>
                <w:szCs w:val="30"/>
              </w:rPr>
              <w:t>温州市中概工程管理咨询有限公司</w:t>
            </w:r>
          </w:p>
        </w:tc>
      </w:tr>
    </w:tbl>
    <w:p>
      <w:pPr>
        <w:widowControl/>
        <w:overflowPunct w:val="0"/>
        <w:autoSpaceDE w:val="0"/>
        <w:autoSpaceDN w:val="0"/>
        <w:adjustRightInd w:val="0"/>
        <w:spacing w:before="624" w:beforeLines="200" w:line="360" w:lineRule="auto"/>
        <w:jc w:val="center"/>
        <w:textAlignment w:val="baseline"/>
        <w:rPr>
          <w:rFonts w:ascii="宋体" w:hAnsi="宋体" w:eastAsia="宋体" w:cs="Arial"/>
          <w:b/>
          <w:snapToGrid w:val="0"/>
          <w:kern w:val="0"/>
          <w:sz w:val="30"/>
          <w:szCs w:val="30"/>
        </w:rPr>
      </w:pPr>
      <w:r>
        <w:rPr>
          <w:rFonts w:hint="eastAsia" w:ascii="宋体" w:hAnsi="宋体" w:eastAsia="宋体" w:cs="Arial"/>
          <w:b/>
          <w:snapToGrid w:val="0"/>
          <w:kern w:val="0"/>
          <w:sz w:val="30"/>
          <w:szCs w:val="30"/>
        </w:rPr>
        <w:t>二零二三年十月</w:t>
      </w:r>
    </w:p>
    <w:p>
      <w:pPr>
        <w:widowControl/>
        <w:overflowPunct w:val="0"/>
        <w:autoSpaceDE w:val="0"/>
        <w:autoSpaceDN w:val="0"/>
        <w:adjustRightInd w:val="0"/>
        <w:spacing w:before="936" w:beforeLines="300" w:after="936" w:afterLines="300" w:line="360" w:lineRule="auto"/>
        <w:jc w:val="center"/>
        <w:textAlignment w:val="baseline"/>
        <w:rPr>
          <w:rFonts w:ascii="宋体" w:hAnsi="宋体" w:eastAsia="宋体" w:cs="新宋体"/>
          <w:b/>
          <w:kern w:val="0"/>
          <w:sz w:val="30"/>
          <w:szCs w:val="30"/>
        </w:rPr>
      </w:pPr>
      <w:r>
        <w:rPr>
          <w:rFonts w:hint="eastAsia" w:ascii="宋体" w:hAnsi="宋体" w:eastAsia="宋体" w:cs="新宋体"/>
          <w:b/>
          <w:kern w:val="0"/>
          <w:sz w:val="30"/>
          <w:szCs w:val="30"/>
        </w:rPr>
        <w:t>招标文件目录</w:t>
      </w:r>
    </w:p>
    <w:p>
      <w:pPr>
        <w:pStyle w:val="10"/>
        <w:tabs>
          <w:tab w:val="right" w:leader="dot" w:pos="9639"/>
        </w:tabs>
        <w:spacing w:line="720" w:lineRule="auto"/>
        <w:rPr>
          <w:rFonts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"1-2" \h \z \u </w:instrText>
      </w:r>
      <w:r>
        <w:rPr>
          <w:rFonts w:hint="eastAsia" w:ascii="宋体" w:hAnsi="宋体" w:eastAsia="宋体" w:cs="宋体"/>
          <w:sz w:val="30"/>
          <w:szCs w:val="30"/>
        </w:rPr>
        <w:fldChar w:fldCharType="separate"/>
      </w:r>
      <w:r>
        <w:fldChar w:fldCharType="begin"/>
      </w:r>
      <w:r>
        <w:instrText xml:space="preserve"> HYPERLINK \l "_Toc4223" </w:instrText>
      </w:r>
      <w:r>
        <w:fldChar w:fldCharType="separate"/>
      </w:r>
      <w:r>
        <w:rPr>
          <w:rFonts w:hint="eastAsia" w:ascii="宋体" w:hAnsi="宋体" w:eastAsia="宋体" w:cs="宋体"/>
          <w:kern w:val="44"/>
          <w:sz w:val="30"/>
          <w:szCs w:val="30"/>
        </w:rPr>
        <w:t>关于永嘉县人民检察院涉案暂扣款专户竞争性开户的公开招标公告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_Toc4223 \h </w:instrText>
      </w:r>
      <w:r>
        <w:rPr>
          <w:rFonts w:hint="eastAsia" w:ascii="宋体" w:hAnsi="宋体" w:eastAsia="宋体" w:cs="宋体"/>
          <w:sz w:val="30"/>
          <w:szCs w:val="30"/>
        </w:rPr>
        <w:fldChar w:fldCharType="separate"/>
      </w:r>
      <w:r>
        <w:rPr>
          <w:rFonts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0"/>
        <w:tabs>
          <w:tab w:val="right" w:leader="dot" w:pos="9639"/>
        </w:tabs>
        <w:spacing w:line="720" w:lineRule="auto"/>
        <w:rPr>
          <w:rFonts w:ascii="宋体" w:hAnsi="宋体" w:eastAsia="宋体" w:cs="宋体"/>
          <w:sz w:val="30"/>
          <w:szCs w:val="30"/>
        </w:rPr>
      </w:pPr>
      <w:r>
        <w:fldChar w:fldCharType="begin"/>
      </w:r>
      <w:r>
        <w:instrText xml:space="preserve"> HYPERLINK \l "_Toc29010" </w:instrText>
      </w:r>
      <w:r>
        <w:fldChar w:fldCharType="separate"/>
      </w:r>
      <w:r>
        <w:rPr>
          <w:rFonts w:hint="eastAsia" w:ascii="宋体" w:hAnsi="宋体" w:eastAsia="宋体" w:cs="宋体"/>
          <w:kern w:val="44"/>
          <w:sz w:val="30"/>
          <w:szCs w:val="30"/>
        </w:rPr>
        <w:t>第一部分 永嘉县人民检察院涉案暂扣款专户竞争性开户实施方案</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_Toc29010 \h </w:instrText>
      </w:r>
      <w:r>
        <w:rPr>
          <w:rFonts w:hint="eastAsia" w:ascii="宋体" w:hAnsi="宋体" w:eastAsia="宋体" w:cs="宋体"/>
          <w:sz w:val="30"/>
          <w:szCs w:val="30"/>
        </w:rPr>
        <w:fldChar w:fldCharType="separate"/>
      </w:r>
      <w:r>
        <w:rPr>
          <w:rFonts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0"/>
        <w:tabs>
          <w:tab w:val="right" w:leader="dot" w:pos="9639"/>
        </w:tabs>
        <w:spacing w:line="720" w:lineRule="auto"/>
        <w:rPr>
          <w:rFonts w:ascii="宋体" w:hAnsi="宋体" w:eastAsia="宋体" w:cs="宋体"/>
          <w:sz w:val="30"/>
          <w:szCs w:val="30"/>
        </w:rPr>
      </w:pPr>
      <w:r>
        <w:fldChar w:fldCharType="begin"/>
      </w:r>
      <w:r>
        <w:instrText xml:space="preserve"> HYPERLINK \l "_Toc22802" </w:instrText>
      </w:r>
      <w:r>
        <w:fldChar w:fldCharType="separate"/>
      </w:r>
      <w:r>
        <w:rPr>
          <w:rFonts w:hint="eastAsia" w:ascii="宋体" w:hAnsi="宋体" w:eastAsia="宋体" w:cs="宋体"/>
          <w:bCs/>
          <w:kern w:val="44"/>
          <w:sz w:val="30"/>
          <w:szCs w:val="30"/>
        </w:rPr>
        <w:t>第二部分  永嘉县人民检察院涉案暂扣款专户竞争性开户商业银行定期存款协议书</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_Toc22802 \h </w:instrText>
      </w:r>
      <w:r>
        <w:rPr>
          <w:rFonts w:hint="eastAsia" w:ascii="宋体" w:hAnsi="宋体" w:eastAsia="宋体" w:cs="宋体"/>
          <w:sz w:val="30"/>
          <w:szCs w:val="30"/>
        </w:rPr>
        <w:fldChar w:fldCharType="separate"/>
      </w:r>
      <w:r>
        <w:rPr>
          <w:rFonts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0"/>
        <w:tabs>
          <w:tab w:val="right" w:leader="dot" w:pos="9639"/>
        </w:tabs>
        <w:spacing w:line="720" w:lineRule="auto"/>
        <w:rPr>
          <w:rFonts w:ascii="宋体" w:hAnsi="宋体" w:eastAsia="宋体" w:cs="宋体"/>
          <w:sz w:val="30"/>
          <w:szCs w:val="30"/>
        </w:rPr>
      </w:pPr>
      <w:r>
        <w:fldChar w:fldCharType="begin"/>
      </w:r>
      <w:r>
        <w:instrText xml:space="preserve"> HYPERLINK \l "_Toc21398" </w:instrText>
      </w:r>
      <w:r>
        <w:fldChar w:fldCharType="separate"/>
      </w:r>
      <w:r>
        <w:rPr>
          <w:rFonts w:hint="eastAsia" w:ascii="宋体" w:hAnsi="宋体" w:eastAsia="宋体" w:cs="宋体"/>
          <w:kern w:val="0"/>
          <w:sz w:val="30"/>
          <w:szCs w:val="30"/>
        </w:rPr>
        <w:t>附件一  供应商联系表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_Toc21398 \h </w:instrText>
      </w:r>
      <w:r>
        <w:rPr>
          <w:rFonts w:hint="eastAsia" w:ascii="宋体" w:hAnsi="宋体" w:eastAsia="宋体" w:cs="宋体"/>
          <w:sz w:val="30"/>
          <w:szCs w:val="30"/>
        </w:rPr>
        <w:fldChar w:fldCharType="separate"/>
      </w:r>
      <w:r>
        <w:rPr>
          <w:rFonts w:ascii="宋体" w:hAnsi="宋体" w:eastAsia="宋体" w:cs="宋体"/>
          <w:sz w:val="30"/>
          <w:szCs w:val="30"/>
        </w:rPr>
        <w:t>14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0"/>
        <w:tabs>
          <w:tab w:val="right" w:leader="dot" w:pos="9639"/>
        </w:tabs>
        <w:spacing w:line="720" w:lineRule="auto"/>
        <w:rPr>
          <w:rFonts w:ascii="宋体" w:hAnsi="宋体" w:eastAsia="宋体" w:cs="宋体"/>
          <w:sz w:val="30"/>
          <w:szCs w:val="30"/>
        </w:rPr>
      </w:pPr>
      <w:r>
        <w:fldChar w:fldCharType="begin"/>
      </w:r>
      <w:r>
        <w:instrText xml:space="preserve"> HYPERLINK \l "_Toc7534" </w:instrText>
      </w:r>
      <w:r>
        <w:fldChar w:fldCharType="separate"/>
      </w:r>
      <w:r>
        <w:rPr>
          <w:rFonts w:hint="eastAsia" w:ascii="宋体" w:hAnsi="宋体" w:eastAsia="宋体" w:cs="宋体"/>
          <w:kern w:val="0"/>
          <w:sz w:val="30"/>
          <w:szCs w:val="30"/>
        </w:rPr>
        <w:t>附件二  开标一览表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_Toc7534 \h </w:instrText>
      </w:r>
      <w:r>
        <w:rPr>
          <w:rFonts w:hint="eastAsia" w:ascii="宋体" w:hAnsi="宋体" w:eastAsia="宋体" w:cs="宋体"/>
          <w:sz w:val="30"/>
          <w:szCs w:val="30"/>
        </w:rPr>
        <w:fldChar w:fldCharType="separate"/>
      </w:r>
      <w:r>
        <w:rPr>
          <w:rFonts w:ascii="宋体" w:hAnsi="宋体" w:eastAsia="宋体" w:cs="宋体"/>
          <w:sz w:val="30"/>
          <w:szCs w:val="30"/>
        </w:rPr>
        <w:t>15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0"/>
        <w:tabs>
          <w:tab w:val="right" w:leader="dot" w:pos="9639"/>
        </w:tabs>
        <w:spacing w:line="720" w:lineRule="auto"/>
        <w:rPr>
          <w:rFonts w:ascii="宋体" w:hAnsi="宋体" w:eastAsia="宋体" w:cs="宋体"/>
          <w:sz w:val="30"/>
          <w:szCs w:val="30"/>
        </w:rPr>
      </w:pPr>
      <w:r>
        <w:fldChar w:fldCharType="begin"/>
      </w:r>
      <w:r>
        <w:instrText xml:space="preserve"> HYPERLINK \l "_Toc26538" </w:instrText>
      </w:r>
      <w:r>
        <w:fldChar w:fldCharType="separate"/>
      </w:r>
      <w:r>
        <w:rPr>
          <w:rFonts w:hint="eastAsia" w:ascii="宋体" w:hAnsi="宋体" w:eastAsia="宋体" w:cs="宋体"/>
          <w:kern w:val="0"/>
          <w:sz w:val="30"/>
          <w:szCs w:val="30"/>
        </w:rPr>
        <w:t>附件三  廉政承诺书</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_Toc26538 \h </w:instrText>
      </w:r>
      <w:r>
        <w:rPr>
          <w:rFonts w:hint="eastAsia" w:ascii="宋体" w:hAnsi="宋体" w:eastAsia="宋体" w:cs="宋体"/>
          <w:sz w:val="30"/>
          <w:szCs w:val="30"/>
        </w:rPr>
        <w:fldChar w:fldCharType="separate"/>
      </w:r>
      <w:r>
        <w:rPr>
          <w:rFonts w:ascii="宋体" w:hAnsi="宋体" w:eastAsia="宋体" w:cs="宋体"/>
          <w:sz w:val="30"/>
          <w:szCs w:val="30"/>
        </w:rPr>
        <w:t>16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0"/>
        <w:tabs>
          <w:tab w:val="right" w:leader="dot" w:pos="9639"/>
        </w:tabs>
        <w:spacing w:line="720" w:lineRule="auto"/>
        <w:rPr>
          <w:rFonts w:ascii="宋体" w:hAnsi="宋体" w:eastAsia="宋体" w:cs="宋体"/>
          <w:sz w:val="30"/>
          <w:szCs w:val="30"/>
        </w:rPr>
      </w:pPr>
      <w:r>
        <w:fldChar w:fldCharType="begin"/>
      </w:r>
      <w:r>
        <w:instrText xml:space="preserve"> HYPERLINK \l "_Toc21979" </w:instrText>
      </w:r>
      <w:r>
        <w:fldChar w:fldCharType="separate"/>
      </w:r>
      <w:r>
        <w:rPr>
          <w:rFonts w:hint="eastAsia" w:ascii="宋体" w:hAnsi="宋体" w:eastAsia="宋体" w:cs="宋体"/>
          <w:kern w:val="0"/>
          <w:sz w:val="30"/>
          <w:szCs w:val="30"/>
        </w:rPr>
        <w:t>附件四  法人指标反向测评相关证明材料</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_Toc21979 \h </w:instrText>
      </w:r>
      <w:r>
        <w:rPr>
          <w:rFonts w:hint="eastAsia" w:ascii="宋体" w:hAnsi="宋体" w:eastAsia="宋体" w:cs="宋体"/>
          <w:sz w:val="30"/>
          <w:szCs w:val="30"/>
        </w:rPr>
        <w:fldChar w:fldCharType="separate"/>
      </w:r>
      <w:r>
        <w:rPr>
          <w:rFonts w:ascii="宋体" w:hAnsi="宋体" w:eastAsia="宋体" w:cs="宋体"/>
          <w:sz w:val="30"/>
          <w:szCs w:val="30"/>
        </w:rPr>
        <w:t>17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0"/>
        <w:tabs>
          <w:tab w:val="right" w:leader="dot" w:pos="9639"/>
        </w:tabs>
        <w:spacing w:line="720" w:lineRule="auto"/>
        <w:rPr>
          <w:rFonts w:ascii="宋体" w:hAnsi="宋体" w:eastAsia="宋体" w:cs="宋体"/>
          <w:sz w:val="30"/>
          <w:szCs w:val="30"/>
        </w:rPr>
      </w:pPr>
      <w:r>
        <w:fldChar w:fldCharType="begin"/>
      </w:r>
      <w:r>
        <w:instrText xml:space="preserve"> HYPERLINK \l "_Toc6150" </w:instrText>
      </w:r>
      <w:r>
        <w:fldChar w:fldCharType="separate"/>
      </w:r>
      <w:r>
        <w:rPr>
          <w:rFonts w:hint="eastAsia" w:ascii="宋体" w:hAnsi="宋体" w:eastAsia="宋体" w:cs="宋体"/>
          <w:kern w:val="0"/>
          <w:sz w:val="30"/>
          <w:szCs w:val="30"/>
        </w:rPr>
        <w:t>附件五  贷款不良率指标及日常服务承诺表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_Toc6150 \h </w:instrText>
      </w:r>
      <w:r>
        <w:rPr>
          <w:rFonts w:hint="eastAsia" w:ascii="宋体" w:hAnsi="宋体" w:eastAsia="宋体" w:cs="宋体"/>
          <w:sz w:val="30"/>
          <w:szCs w:val="30"/>
        </w:rPr>
        <w:fldChar w:fldCharType="separate"/>
      </w:r>
      <w:r>
        <w:rPr>
          <w:rFonts w:ascii="宋体" w:hAnsi="宋体" w:eastAsia="宋体" w:cs="宋体"/>
          <w:sz w:val="30"/>
          <w:szCs w:val="30"/>
        </w:rPr>
        <w:t>18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0"/>
        <w:tabs>
          <w:tab w:val="right" w:leader="dot" w:pos="9639"/>
        </w:tabs>
        <w:spacing w:line="720" w:lineRule="auto"/>
        <w:rPr>
          <w:rFonts w:ascii="宋体" w:hAnsi="宋体" w:eastAsia="宋体" w:cs="宋体"/>
          <w:sz w:val="30"/>
          <w:szCs w:val="30"/>
        </w:rPr>
      </w:pPr>
      <w:r>
        <w:fldChar w:fldCharType="begin"/>
      </w:r>
      <w:r>
        <w:instrText xml:space="preserve"> HYPERLINK \l "_Toc30374" </w:instrText>
      </w:r>
      <w:r>
        <w:fldChar w:fldCharType="separate"/>
      </w:r>
      <w:r>
        <w:rPr>
          <w:rFonts w:hint="eastAsia" w:ascii="宋体" w:hAnsi="宋体" w:eastAsia="宋体" w:cs="宋体"/>
          <w:kern w:val="0"/>
          <w:sz w:val="30"/>
          <w:szCs w:val="30"/>
        </w:rPr>
        <w:t>附件六 法定代表人（负责人）授权书</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_Toc30374 \h </w:instrText>
      </w:r>
      <w:r>
        <w:rPr>
          <w:rFonts w:hint="eastAsia" w:ascii="宋体" w:hAnsi="宋体" w:eastAsia="宋体" w:cs="宋体"/>
          <w:sz w:val="30"/>
          <w:szCs w:val="30"/>
        </w:rPr>
        <w:fldChar w:fldCharType="separate"/>
      </w:r>
      <w:r>
        <w:rPr>
          <w:rFonts w:ascii="宋体" w:hAnsi="宋体" w:eastAsia="宋体" w:cs="宋体"/>
          <w:sz w:val="30"/>
          <w:szCs w:val="30"/>
        </w:rPr>
        <w:t>19</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tabs>
          <w:tab w:val="right" w:leader="dot" w:pos="9639"/>
        </w:tabs>
        <w:spacing w:line="720" w:lineRule="auto"/>
        <w:outlineLvl w:val="0"/>
        <w:rPr>
          <w:rFonts w:ascii="宋体" w:hAnsi="宋体" w:eastAsia="宋体" w:cs="Times New Roman"/>
          <w:kern w:val="0"/>
          <w:sz w:val="30"/>
          <w:szCs w:val="30"/>
        </w:rPr>
      </w:pPr>
      <w:r>
        <w:rPr>
          <w:rFonts w:hint="eastAsia" w:ascii="宋体" w:hAnsi="宋体" w:eastAsia="宋体" w:cs="宋体"/>
          <w:kern w:val="0"/>
          <w:sz w:val="30"/>
          <w:szCs w:val="30"/>
        </w:rPr>
        <w:fldChar w:fldCharType="end"/>
      </w:r>
      <w:r>
        <w:rPr>
          <w:rFonts w:ascii="宋体" w:hAnsi="宋体" w:eastAsia="宋体" w:cs="Times New Roman"/>
          <w:kern w:val="0"/>
          <w:sz w:val="30"/>
          <w:szCs w:val="30"/>
        </w:rPr>
        <w:br w:type="page"/>
      </w:r>
    </w:p>
    <w:p>
      <w:pPr>
        <w:spacing w:line="360" w:lineRule="auto"/>
        <w:jc w:val="center"/>
        <w:outlineLvl w:val="0"/>
        <w:rPr>
          <w:rFonts w:ascii="宋体" w:hAnsi="宋体" w:eastAsia="宋体" w:cs="宋体"/>
          <w:b/>
          <w:bCs/>
          <w:kern w:val="36"/>
          <w:sz w:val="30"/>
          <w:szCs w:val="30"/>
        </w:rPr>
      </w:pPr>
      <w:bookmarkStart w:id="0" w:name="_Toc4223"/>
      <w:r>
        <w:rPr>
          <w:rFonts w:hint="eastAsia" w:ascii="宋体" w:hAnsi="宋体" w:eastAsia="宋体" w:cs="新宋体"/>
          <w:b/>
          <w:kern w:val="44"/>
          <w:sz w:val="30"/>
          <w:szCs w:val="30"/>
        </w:rPr>
        <w:t>关于永嘉县人民检察院涉案暂扣款专户竞争性开户的公开招标公告</w:t>
      </w:r>
      <w:bookmarkEnd w:id="0"/>
    </w:p>
    <w:p>
      <w:pPr>
        <w:widowControl/>
        <w:overflowPunct w:val="0"/>
        <w:autoSpaceDE w:val="0"/>
        <w:autoSpaceDN w:val="0"/>
        <w:adjustRightInd w:val="0"/>
        <w:jc w:val="center"/>
        <w:textAlignment w:val="baseline"/>
        <w:rPr>
          <w:rFonts w:ascii="宋体" w:hAnsi="宋体" w:eastAsia="宋体" w:cs="Times New Roman"/>
          <w:kern w:val="0"/>
          <w:sz w:val="30"/>
          <w:szCs w:val="30"/>
        </w:rPr>
      </w:pPr>
      <w:r>
        <w:rPr>
          <w:rFonts w:hint="eastAsia" w:ascii="宋体" w:hAnsi="宋体" w:eastAsia="宋体" w:cs="Times New Roman"/>
          <w:kern w:val="0"/>
          <w:sz w:val="30"/>
          <w:szCs w:val="30"/>
        </w:rPr>
        <w:t>编号：</w:t>
      </w:r>
      <w:r>
        <w:rPr>
          <w:rFonts w:hint="eastAsia" w:ascii="宋体" w:hAnsi="宋体" w:eastAsia="宋体" w:cs="Arial"/>
          <w:snapToGrid w:val="0"/>
          <w:kern w:val="0"/>
          <w:sz w:val="30"/>
          <w:szCs w:val="30"/>
        </w:rPr>
        <w:t>YJJCY-20231020</w:t>
      </w:r>
    </w:p>
    <w:p>
      <w:pPr>
        <w:widowControl/>
        <w:overflowPunct w:val="0"/>
        <w:autoSpaceDE w:val="0"/>
        <w:autoSpaceDN w:val="0"/>
        <w:adjustRightInd w:val="0"/>
        <w:spacing w:line="360" w:lineRule="auto"/>
        <w:textAlignment w:val="baseline"/>
        <w:rPr>
          <w:rFonts w:ascii="宋体" w:hAnsi="宋体" w:eastAsia="宋体" w:cs="Times New Roman"/>
          <w:kern w:val="0"/>
          <w:sz w:val="30"/>
          <w:szCs w:val="30"/>
        </w:rPr>
      </w:pPr>
      <w:r>
        <w:rPr>
          <w:rFonts w:hint="eastAsia" w:ascii="宋体" w:hAnsi="宋体" w:eastAsia="宋体" w:cs="Times New Roman"/>
          <w:kern w:val="0"/>
          <w:sz w:val="30"/>
          <w:szCs w:val="30"/>
        </w:rPr>
        <w:t>各有关银行：</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hint="eastAsia" w:ascii="宋体" w:hAnsi="宋体" w:eastAsia="宋体" w:cs="Times New Roman"/>
          <w:kern w:val="0"/>
          <w:sz w:val="30"/>
          <w:szCs w:val="30"/>
        </w:rPr>
        <w:t>为进一步加强涉案暂扣款资金管理，根据《关于防止领导干部在公款存放方面发生利益冲突和利益输送的办法》(浙委办发〔2015〕8号)、《浙江省省级行政事业单位公款竞争性存放管理》（浙财预执〔2021〕7号）、《永嘉县财政局关于印发永嘉县县级行政事业单位公款竞争性存放管理办法的通知》（永财预执〔2022〕203号）文件规定，结合单位实际情况，开展本单位专户竞争性开户招投标工作，特邀请相关银行机构参加本次招投标。</w:t>
      </w:r>
    </w:p>
    <w:p>
      <w:pPr>
        <w:widowControl/>
        <w:numPr>
          <w:ilvl w:val="0"/>
          <w:numId w:val="0"/>
        </w:numPr>
        <w:overflowPunct w:val="0"/>
        <w:autoSpaceDE w:val="0"/>
        <w:autoSpaceDN w:val="0"/>
        <w:adjustRightInd w:val="0"/>
        <w:spacing w:line="360" w:lineRule="auto"/>
        <w:ind w:firstLine="602" w:firstLineChars="200"/>
        <w:textAlignment w:val="baseline"/>
        <w:rPr>
          <w:rFonts w:ascii="宋体" w:hAnsi="宋体" w:eastAsia="宋体" w:cs="Times New Roman"/>
          <w:b/>
          <w:kern w:val="0"/>
          <w:sz w:val="30"/>
          <w:szCs w:val="30"/>
        </w:rPr>
      </w:pPr>
      <w:r>
        <w:rPr>
          <w:rFonts w:hint="eastAsia" w:ascii="宋体" w:hAnsi="宋体" w:eastAsia="宋体" w:cs="Times New Roman"/>
          <w:b/>
          <w:kern w:val="0"/>
          <w:sz w:val="30"/>
          <w:szCs w:val="30"/>
          <w:lang w:val="en-US" w:eastAsia="zh-CN"/>
        </w:rPr>
        <w:t>一、</w:t>
      </w:r>
      <w:r>
        <w:rPr>
          <w:rFonts w:hint="eastAsia" w:ascii="宋体" w:hAnsi="宋体" w:eastAsia="宋体" w:cs="Times New Roman"/>
          <w:b/>
          <w:kern w:val="0"/>
          <w:sz w:val="30"/>
          <w:szCs w:val="30"/>
        </w:rPr>
        <w:t>招标内容：</w:t>
      </w:r>
    </w:p>
    <w:p>
      <w:pPr>
        <w:widowControl/>
        <w:overflowPunct w:val="0"/>
        <w:autoSpaceDE w:val="0"/>
        <w:autoSpaceDN w:val="0"/>
        <w:adjustRightInd w:val="0"/>
        <w:spacing w:line="360" w:lineRule="auto"/>
        <w:ind w:firstLine="600" w:firstLineChars="200"/>
        <w:textAlignment w:val="baseline"/>
      </w:pPr>
      <w:r>
        <w:rPr>
          <w:rFonts w:hint="eastAsia" w:ascii="宋体" w:hAnsi="宋体" w:eastAsia="宋体" w:cs="仿宋_GB2312"/>
          <w:kern w:val="0"/>
          <w:sz w:val="30"/>
          <w:szCs w:val="30"/>
          <w:u w:val="single"/>
        </w:rPr>
        <w:t>竞争标的为永嘉县人民检察院涉案暂扣款专户竞争性开户受理银行，此次招标最终选择1家银行，综合得分第一名为中标银行。</w:t>
      </w:r>
    </w:p>
    <w:p>
      <w:pPr>
        <w:widowControl/>
        <w:numPr>
          <w:ilvl w:val="0"/>
          <w:numId w:val="0"/>
        </w:numPr>
        <w:overflowPunct w:val="0"/>
        <w:autoSpaceDE w:val="0"/>
        <w:autoSpaceDN w:val="0"/>
        <w:adjustRightInd w:val="0"/>
        <w:spacing w:line="360" w:lineRule="auto"/>
        <w:ind w:firstLine="602" w:firstLineChars="200"/>
        <w:textAlignment w:val="baseline"/>
        <w:rPr>
          <w:rFonts w:ascii="宋体" w:hAnsi="宋体" w:eastAsia="宋体" w:cs="Times New Roman"/>
          <w:b/>
          <w:kern w:val="0"/>
          <w:sz w:val="30"/>
          <w:szCs w:val="30"/>
        </w:rPr>
      </w:pPr>
      <w:r>
        <w:rPr>
          <w:rFonts w:hint="eastAsia" w:ascii="宋体" w:hAnsi="宋体" w:eastAsia="宋体" w:cs="Times New Roman"/>
          <w:b/>
          <w:kern w:val="0"/>
          <w:sz w:val="30"/>
          <w:szCs w:val="30"/>
          <w:lang w:val="en-US" w:eastAsia="zh-CN"/>
        </w:rPr>
        <w:t>二、</w:t>
      </w:r>
      <w:r>
        <w:rPr>
          <w:rFonts w:hint="eastAsia" w:ascii="宋体" w:hAnsi="宋体" w:eastAsia="宋体" w:cs="Times New Roman"/>
          <w:b/>
          <w:kern w:val="0"/>
          <w:sz w:val="30"/>
          <w:szCs w:val="30"/>
        </w:rPr>
        <w:t>投标人资格要求：</w:t>
      </w:r>
    </w:p>
    <w:p>
      <w:pPr>
        <w:widowControl/>
        <w:overflowPunct w:val="0"/>
        <w:autoSpaceDE w:val="0"/>
        <w:autoSpaceDN w:val="0"/>
        <w:adjustRightInd w:val="0"/>
        <w:spacing w:line="360" w:lineRule="auto"/>
        <w:ind w:firstLine="600" w:firstLineChars="200"/>
        <w:textAlignment w:val="baseline"/>
        <w:rPr>
          <w:rFonts w:ascii="宋体" w:hAnsi="宋体" w:eastAsia="宋体" w:cs="仿宋_GB2312"/>
          <w:kern w:val="0"/>
          <w:sz w:val="30"/>
          <w:szCs w:val="30"/>
        </w:rPr>
      </w:pPr>
      <w:r>
        <w:rPr>
          <w:rFonts w:ascii="宋体" w:hAnsi="宋体" w:eastAsia="宋体" w:cs="仿宋_GB2312"/>
          <w:kern w:val="0"/>
          <w:sz w:val="30"/>
          <w:szCs w:val="30"/>
        </w:rPr>
        <w:t>1、在永嘉县人民检察院所在同城设有分支机构，且法律、法规没有限制的国有商业银行、股份制商业银行、邮政储蓄银行、城市商业银行、农村商业银行、农村合作银行、村镇银行、农村信用社及政策性银行。</w:t>
      </w:r>
    </w:p>
    <w:p>
      <w:pPr>
        <w:widowControl/>
        <w:overflowPunct w:val="0"/>
        <w:autoSpaceDE w:val="0"/>
        <w:autoSpaceDN w:val="0"/>
        <w:adjustRightInd w:val="0"/>
        <w:spacing w:line="360" w:lineRule="auto"/>
        <w:ind w:firstLine="600" w:firstLineChars="200"/>
        <w:textAlignment w:val="baseline"/>
        <w:rPr>
          <w:rFonts w:ascii="宋体" w:hAnsi="宋体" w:eastAsia="宋体" w:cs="仿宋_GB2312"/>
          <w:kern w:val="0"/>
          <w:sz w:val="30"/>
          <w:szCs w:val="30"/>
        </w:rPr>
      </w:pPr>
      <w:r>
        <w:rPr>
          <w:rFonts w:ascii="宋体" w:hAnsi="宋体" w:eastAsia="宋体" w:cs="仿宋_GB2312"/>
          <w:kern w:val="0"/>
          <w:sz w:val="30"/>
          <w:szCs w:val="30"/>
        </w:rPr>
        <w:t>2、依法开展经营活动，内部管理机制健全，具有较强的风险控制能力，近3年内在经营活动中无重大违法违规记录、未发生金融风险及重大违约事件。</w:t>
      </w:r>
    </w:p>
    <w:p>
      <w:pPr>
        <w:widowControl/>
        <w:overflowPunct w:val="0"/>
        <w:autoSpaceDE w:val="0"/>
        <w:autoSpaceDN w:val="0"/>
        <w:adjustRightInd w:val="0"/>
        <w:spacing w:line="360" w:lineRule="auto"/>
        <w:ind w:firstLine="600" w:firstLineChars="200"/>
        <w:textAlignment w:val="baseline"/>
        <w:rPr>
          <w:rFonts w:ascii="宋体" w:hAnsi="宋体" w:eastAsia="宋体" w:cs="仿宋_GB2312"/>
          <w:kern w:val="0"/>
          <w:sz w:val="30"/>
          <w:szCs w:val="30"/>
        </w:rPr>
      </w:pPr>
      <w:r>
        <w:rPr>
          <w:rFonts w:ascii="宋体" w:hAnsi="宋体" w:eastAsia="宋体" w:cs="仿宋_GB2312"/>
          <w:kern w:val="0"/>
          <w:sz w:val="30"/>
          <w:szCs w:val="30"/>
        </w:rPr>
        <w:t>3、纳入监管评级的银行，人民银行上年度综合评价应达到B级及以上。</w:t>
      </w:r>
    </w:p>
    <w:p>
      <w:pPr>
        <w:widowControl/>
        <w:overflowPunct w:val="0"/>
        <w:autoSpaceDE w:val="0"/>
        <w:autoSpaceDN w:val="0"/>
        <w:adjustRightInd w:val="0"/>
        <w:spacing w:line="360" w:lineRule="auto"/>
        <w:ind w:firstLine="600" w:firstLineChars="200"/>
        <w:textAlignment w:val="baseline"/>
        <w:rPr>
          <w:rFonts w:ascii="宋体" w:hAnsi="宋体" w:eastAsia="宋体" w:cs="仿宋_GB2312"/>
          <w:kern w:val="0"/>
          <w:sz w:val="30"/>
          <w:szCs w:val="30"/>
        </w:rPr>
      </w:pPr>
      <w:r>
        <w:rPr>
          <w:rFonts w:ascii="宋体" w:hAnsi="宋体" w:eastAsia="宋体" w:cs="仿宋_GB2312"/>
          <w:kern w:val="0"/>
          <w:sz w:val="30"/>
          <w:szCs w:val="30"/>
        </w:rPr>
        <w:t>4、本次招标每家银行有且只能有一个主体参与投标。</w:t>
      </w:r>
    </w:p>
    <w:p>
      <w:pPr>
        <w:widowControl/>
        <w:overflowPunct w:val="0"/>
        <w:autoSpaceDE w:val="0"/>
        <w:autoSpaceDN w:val="0"/>
        <w:adjustRightInd w:val="0"/>
        <w:spacing w:line="360" w:lineRule="auto"/>
        <w:ind w:firstLine="600" w:firstLineChars="200"/>
        <w:textAlignment w:val="baseline"/>
        <w:rPr>
          <w:rFonts w:ascii="宋体" w:hAnsi="宋体" w:eastAsia="宋体" w:cs="仿宋_GB2312"/>
          <w:kern w:val="0"/>
          <w:sz w:val="30"/>
          <w:szCs w:val="30"/>
        </w:rPr>
      </w:pPr>
      <w:r>
        <w:rPr>
          <w:rFonts w:ascii="宋体" w:hAnsi="宋体" w:eastAsia="宋体" w:cs="仿宋_GB2312"/>
          <w:kern w:val="0"/>
          <w:sz w:val="30"/>
          <w:szCs w:val="30"/>
        </w:rPr>
        <w:t>5、本项目谢绝联合体投标。</w:t>
      </w:r>
    </w:p>
    <w:p>
      <w:pPr>
        <w:widowControl/>
        <w:overflowPunct w:val="0"/>
        <w:autoSpaceDE w:val="0"/>
        <w:autoSpaceDN w:val="0"/>
        <w:adjustRightInd w:val="0"/>
        <w:spacing w:line="360" w:lineRule="auto"/>
        <w:ind w:firstLine="602" w:firstLineChars="200"/>
        <w:textAlignment w:val="baseline"/>
        <w:rPr>
          <w:rFonts w:ascii="宋体" w:hAnsi="宋体" w:eastAsia="宋体" w:cs="Times New Roman"/>
          <w:b/>
          <w:kern w:val="0"/>
          <w:sz w:val="30"/>
          <w:szCs w:val="30"/>
        </w:rPr>
      </w:pPr>
      <w:r>
        <w:rPr>
          <w:rFonts w:hint="eastAsia" w:ascii="宋体" w:hAnsi="宋体" w:eastAsia="宋体" w:cs="Times New Roman"/>
          <w:b/>
          <w:kern w:val="0"/>
          <w:sz w:val="30"/>
          <w:szCs w:val="30"/>
        </w:rPr>
        <w:t>三、投标前须提交以下文件资料（须装订成册）：</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hint="eastAsia" w:ascii="宋体" w:hAnsi="宋体" w:eastAsia="宋体" w:cs="Times New Roman"/>
          <w:kern w:val="0"/>
          <w:sz w:val="30"/>
          <w:szCs w:val="30"/>
        </w:rPr>
        <w:t>1、供应商联系表 ；</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hint="eastAsia" w:ascii="宋体" w:hAnsi="宋体" w:eastAsia="宋体" w:cs="Times New Roman"/>
          <w:kern w:val="0"/>
          <w:sz w:val="30"/>
          <w:szCs w:val="30"/>
        </w:rPr>
        <w:t>2、</w:t>
      </w:r>
      <w:r>
        <w:rPr>
          <w:rFonts w:ascii="宋体" w:hAnsi="宋体" w:eastAsia="宋体" w:cs="Times New Roman"/>
          <w:kern w:val="0"/>
          <w:sz w:val="30"/>
          <w:szCs w:val="30"/>
        </w:rPr>
        <w:t>法人指标反向测评相关证明材料</w:t>
      </w:r>
      <w:r>
        <w:rPr>
          <w:rFonts w:hint="eastAsia" w:ascii="宋体" w:hAnsi="宋体" w:eastAsia="宋体" w:cs="Times New Roman"/>
          <w:kern w:val="0"/>
          <w:sz w:val="30"/>
          <w:szCs w:val="30"/>
        </w:rPr>
        <w:t>；</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hint="eastAsia" w:ascii="宋体" w:hAnsi="宋体" w:eastAsia="宋体" w:cs="Times New Roman"/>
          <w:kern w:val="0"/>
          <w:sz w:val="30"/>
          <w:szCs w:val="30"/>
        </w:rPr>
        <w:t>3、廉政承诺书；</w:t>
      </w:r>
    </w:p>
    <w:p>
      <w:pPr>
        <w:widowControl/>
        <w:overflowPunct w:val="0"/>
        <w:autoSpaceDE w:val="0"/>
        <w:autoSpaceDN w:val="0"/>
        <w:adjustRightInd w:val="0"/>
        <w:spacing w:line="360" w:lineRule="auto"/>
        <w:ind w:firstLine="600" w:firstLineChars="200"/>
        <w:textAlignment w:val="baseline"/>
        <w:rPr>
          <w:rFonts w:eastAsia="宋体"/>
        </w:rPr>
      </w:pPr>
      <w:r>
        <w:rPr>
          <w:rFonts w:hint="eastAsia" w:ascii="宋体" w:hAnsi="宋体" w:eastAsia="宋体" w:cs="Times New Roman"/>
          <w:kern w:val="0"/>
          <w:sz w:val="30"/>
          <w:szCs w:val="30"/>
        </w:rPr>
        <w:t>4、日常服务承诺表；</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hint="eastAsia" w:ascii="宋体" w:hAnsi="宋体" w:eastAsia="宋体" w:cs="Times New Roman"/>
          <w:kern w:val="0"/>
          <w:sz w:val="30"/>
          <w:szCs w:val="30"/>
        </w:rPr>
        <w:t>5、其他相关资料。</w:t>
      </w:r>
    </w:p>
    <w:p>
      <w:pPr>
        <w:widowControl/>
        <w:overflowPunct w:val="0"/>
        <w:autoSpaceDE w:val="0"/>
        <w:autoSpaceDN w:val="0"/>
        <w:adjustRightInd w:val="0"/>
        <w:spacing w:line="360" w:lineRule="auto"/>
        <w:ind w:left="422" w:leftChars="201"/>
        <w:textAlignment w:val="baseline"/>
        <w:rPr>
          <w:rFonts w:ascii="宋体" w:hAnsi="宋体" w:eastAsia="宋体" w:cs="Times New Roman"/>
          <w:kern w:val="0"/>
          <w:sz w:val="30"/>
          <w:szCs w:val="30"/>
          <w:u w:val="single"/>
        </w:rPr>
      </w:pPr>
      <w:r>
        <w:rPr>
          <w:rFonts w:hint="eastAsia" w:ascii="宋体" w:hAnsi="宋体" w:eastAsia="宋体" w:cs="Times New Roman"/>
          <w:kern w:val="0"/>
          <w:sz w:val="30"/>
          <w:szCs w:val="30"/>
          <w:u w:val="single"/>
        </w:rPr>
        <w:t>注：以上材料均需加盖公章，材料递交地点为温州市永嘉县南城街道环城北路618号云碓大厦503室。</w:t>
      </w:r>
    </w:p>
    <w:p>
      <w:pPr>
        <w:widowControl/>
        <w:overflowPunct w:val="0"/>
        <w:autoSpaceDE w:val="0"/>
        <w:autoSpaceDN w:val="0"/>
        <w:adjustRightInd w:val="0"/>
        <w:spacing w:line="360" w:lineRule="auto"/>
        <w:ind w:firstLine="602" w:firstLineChars="200"/>
        <w:textAlignment w:val="baseline"/>
        <w:rPr>
          <w:rFonts w:ascii="宋体" w:hAnsi="宋体" w:eastAsia="宋体" w:cs="Times New Roman"/>
          <w:kern w:val="0"/>
          <w:sz w:val="30"/>
          <w:szCs w:val="30"/>
        </w:rPr>
      </w:pPr>
      <w:r>
        <w:rPr>
          <w:rFonts w:hint="eastAsia" w:ascii="宋体" w:hAnsi="宋体" w:eastAsia="宋体" w:cs="Times New Roman"/>
          <w:b/>
          <w:kern w:val="0"/>
          <w:sz w:val="30"/>
          <w:szCs w:val="30"/>
        </w:rPr>
        <w:t>四、递交投标文件截止时间及地点</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hint="eastAsia" w:ascii="宋体" w:hAnsi="宋体" w:eastAsia="宋体" w:cs="Times New Roman"/>
          <w:kern w:val="0"/>
          <w:sz w:val="30"/>
          <w:szCs w:val="30"/>
        </w:rPr>
        <w:t>投标文件递交截止时间：2023年10月30日</w:t>
      </w:r>
      <w:r>
        <w:rPr>
          <w:rFonts w:ascii="宋体" w:hAnsi="宋体" w:eastAsia="宋体" w:cs="Times New Roman"/>
          <w:kern w:val="0"/>
          <w:sz w:val="30"/>
          <w:szCs w:val="30"/>
        </w:rPr>
        <w:t>09</w:t>
      </w:r>
      <w:r>
        <w:rPr>
          <w:rFonts w:hint="eastAsia" w:ascii="宋体" w:hAnsi="宋体" w:eastAsia="宋体" w:cs="Times New Roman"/>
          <w:kern w:val="0"/>
          <w:sz w:val="30"/>
          <w:szCs w:val="30"/>
        </w:rPr>
        <w:t>：3</w:t>
      </w:r>
      <w:r>
        <w:rPr>
          <w:rFonts w:ascii="宋体" w:hAnsi="宋体" w:eastAsia="宋体" w:cs="Times New Roman"/>
          <w:kern w:val="0"/>
          <w:sz w:val="30"/>
          <w:szCs w:val="30"/>
        </w:rPr>
        <w:t>0</w:t>
      </w:r>
      <w:r>
        <w:rPr>
          <w:rFonts w:hint="eastAsia" w:ascii="宋体" w:hAnsi="宋体" w:eastAsia="宋体" w:cs="Times New Roman"/>
          <w:kern w:val="0"/>
          <w:sz w:val="30"/>
          <w:szCs w:val="30"/>
        </w:rPr>
        <w:t>分整，逾期投标视为未投标；</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hint="eastAsia" w:ascii="宋体" w:hAnsi="宋体" w:eastAsia="宋体" w:cs="Times New Roman"/>
          <w:kern w:val="0"/>
          <w:sz w:val="30"/>
          <w:szCs w:val="30"/>
        </w:rPr>
        <w:t>递交地点：</w:t>
      </w:r>
      <w:r>
        <w:rPr>
          <w:rFonts w:hint="eastAsia" w:ascii="宋体" w:hAnsi="宋体" w:eastAsia="宋体" w:cs="Times New Roman"/>
          <w:kern w:val="0"/>
          <w:sz w:val="30"/>
          <w:szCs w:val="30"/>
          <w:u w:val="single"/>
        </w:rPr>
        <w:t>温州市永嘉县南城街道环城北路云碓大厦503室</w:t>
      </w:r>
    </w:p>
    <w:p>
      <w:pPr>
        <w:widowControl/>
        <w:overflowPunct w:val="0"/>
        <w:autoSpaceDE w:val="0"/>
        <w:autoSpaceDN w:val="0"/>
        <w:adjustRightInd w:val="0"/>
        <w:spacing w:line="360" w:lineRule="auto"/>
        <w:ind w:firstLine="602" w:firstLineChars="200"/>
        <w:textAlignment w:val="baseline"/>
        <w:rPr>
          <w:rFonts w:ascii="宋体" w:hAnsi="宋体" w:eastAsia="宋体" w:cs="Times New Roman"/>
          <w:b/>
          <w:kern w:val="0"/>
          <w:sz w:val="30"/>
          <w:szCs w:val="30"/>
        </w:rPr>
      </w:pPr>
      <w:r>
        <w:rPr>
          <w:rFonts w:hint="eastAsia" w:ascii="宋体" w:hAnsi="宋体" w:eastAsia="宋体" w:cs="Times New Roman"/>
          <w:b/>
          <w:kern w:val="0"/>
          <w:sz w:val="30"/>
          <w:szCs w:val="30"/>
        </w:rPr>
        <w:t>五、开标时间及地点</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u w:val="single"/>
        </w:rPr>
      </w:pPr>
      <w:r>
        <w:rPr>
          <w:rFonts w:hint="eastAsia" w:ascii="宋体" w:hAnsi="宋体" w:eastAsia="宋体" w:cs="Times New Roman"/>
          <w:kern w:val="0"/>
          <w:sz w:val="30"/>
          <w:szCs w:val="30"/>
        </w:rPr>
        <w:t>开标时间：</w:t>
      </w:r>
      <w:r>
        <w:rPr>
          <w:rFonts w:hint="eastAsia" w:ascii="宋体" w:hAnsi="宋体" w:eastAsia="宋体" w:cs="Times New Roman"/>
          <w:kern w:val="0"/>
          <w:sz w:val="30"/>
          <w:szCs w:val="30"/>
          <w:u w:val="single"/>
        </w:rPr>
        <w:t>2023年10月30日</w:t>
      </w:r>
      <w:r>
        <w:rPr>
          <w:rFonts w:ascii="宋体" w:hAnsi="宋体" w:eastAsia="宋体" w:cs="Times New Roman"/>
          <w:kern w:val="0"/>
          <w:sz w:val="30"/>
          <w:szCs w:val="30"/>
          <w:u w:val="single"/>
        </w:rPr>
        <w:t>09</w:t>
      </w:r>
      <w:r>
        <w:rPr>
          <w:rFonts w:hint="eastAsia" w:ascii="宋体" w:hAnsi="宋体" w:eastAsia="宋体" w:cs="Times New Roman"/>
          <w:kern w:val="0"/>
          <w:sz w:val="30"/>
          <w:szCs w:val="30"/>
          <w:u w:val="single"/>
        </w:rPr>
        <w:t>：3</w:t>
      </w:r>
      <w:r>
        <w:rPr>
          <w:rFonts w:ascii="宋体" w:hAnsi="宋体" w:eastAsia="宋体" w:cs="Times New Roman"/>
          <w:kern w:val="0"/>
          <w:sz w:val="30"/>
          <w:szCs w:val="30"/>
          <w:u w:val="single"/>
        </w:rPr>
        <w:t>0</w:t>
      </w:r>
      <w:r>
        <w:rPr>
          <w:rFonts w:hint="eastAsia" w:ascii="宋体" w:hAnsi="宋体" w:eastAsia="宋体" w:cs="Times New Roman"/>
          <w:kern w:val="0"/>
          <w:sz w:val="30"/>
          <w:szCs w:val="30"/>
          <w:u w:val="single"/>
        </w:rPr>
        <w:t>分整（具体以现场实际开始时间为准）；</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hint="eastAsia" w:ascii="宋体" w:hAnsi="宋体" w:eastAsia="宋体" w:cs="Times New Roman"/>
          <w:kern w:val="0"/>
          <w:sz w:val="30"/>
          <w:szCs w:val="30"/>
        </w:rPr>
        <w:t>开标地点：温州市永嘉县南城街道环城北路云碓大厦503室。</w:t>
      </w:r>
    </w:p>
    <w:p>
      <w:pPr>
        <w:widowControl/>
        <w:overflowPunct w:val="0"/>
        <w:autoSpaceDE w:val="0"/>
        <w:autoSpaceDN w:val="0"/>
        <w:adjustRightInd w:val="0"/>
        <w:spacing w:line="360" w:lineRule="auto"/>
        <w:ind w:firstLine="602" w:firstLineChars="200"/>
        <w:textAlignment w:val="baseline"/>
        <w:rPr>
          <w:rFonts w:ascii="宋体" w:hAnsi="宋体" w:eastAsia="宋体" w:cs="Times New Roman"/>
          <w:kern w:val="0"/>
          <w:sz w:val="30"/>
          <w:szCs w:val="30"/>
        </w:rPr>
      </w:pPr>
      <w:r>
        <w:rPr>
          <w:rFonts w:hint="eastAsia" w:ascii="宋体" w:hAnsi="宋体" w:eastAsia="宋体" w:cs="Times New Roman"/>
          <w:b/>
          <w:kern w:val="0"/>
          <w:sz w:val="30"/>
          <w:szCs w:val="30"/>
        </w:rPr>
        <w:t>六、评标办法、评分指标等详见</w:t>
      </w:r>
      <w:r>
        <w:rPr>
          <w:rFonts w:hint="eastAsia" w:ascii="宋体" w:hAnsi="宋体" w:eastAsia="宋体" w:cs="Times New Roman"/>
          <w:kern w:val="0"/>
          <w:sz w:val="30"/>
          <w:szCs w:val="30"/>
        </w:rPr>
        <w:t>《永嘉县人民检察院涉案暂扣款专户竞争性开户实施方案》。</w:t>
      </w:r>
    </w:p>
    <w:p>
      <w:pPr>
        <w:widowControl/>
        <w:overflowPunct w:val="0"/>
        <w:autoSpaceDE w:val="0"/>
        <w:autoSpaceDN w:val="0"/>
        <w:adjustRightInd w:val="0"/>
        <w:spacing w:line="360" w:lineRule="auto"/>
        <w:ind w:firstLine="602" w:firstLineChars="200"/>
        <w:textAlignment w:val="baseline"/>
        <w:rPr>
          <w:rFonts w:ascii="宋体" w:hAnsi="宋体" w:eastAsia="宋体" w:cs="Times New Roman"/>
          <w:b/>
          <w:kern w:val="0"/>
          <w:sz w:val="30"/>
          <w:szCs w:val="30"/>
        </w:rPr>
      </w:pPr>
      <w:r>
        <w:rPr>
          <w:rFonts w:hint="eastAsia" w:ascii="宋体" w:hAnsi="宋体" w:eastAsia="宋体" w:cs="Times New Roman"/>
          <w:b/>
          <w:kern w:val="0"/>
          <w:sz w:val="30"/>
          <w:szCs w:val="30"/>
        </w:rPr>
        <w:t>七、其他事项：</w:t>
      </w:r>
      <w:r>
        <w:rPr>
          <w:rFonts w:hint="eastAsia" w:ascii="宋体" w:hAnsi="宋体" w:eastAsia="宋体" w:cs="Times New Roman"/>
          <w:kern w:val="0"/>
          <w:sz w:val="30"/>
          <w:szCs w:val="30"/>
        </w:rPr>
        <w:t>请有意参与本次招投标的银行，在投标规定时间要求内，以密封函件的形式将《永嘉县人民检察院涉案暂扣款专户竞争性开户投标文件》一式三份送达投标地点。投标银行主要负责人或授权的一位代表参办本次投标。</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hint="eastAsia" w:ascii="宋体" w:hAnsi="宋体" w:eastAsia="宋体" w:cs="Times New Roman"/>
          <w:kern w:val="0"/>
          <w:sz w:val="30"/>
          <w:szCs w:val="30"/>
          <w:lang w:eastAsia="zh-CN"/>
        </w:rPr>
        <w:t>（</w:t>
      </w:r>
      <w:r>
        <w:rPr>
          <w:rFonts w:hint="eastAsia" w:ascii="宋体" w:hAnsi="宋体" w:eastAsia="宋体" w:cs="Times New Roman"/>
          <w:kern w:val="0"/>
          <w:sz w:val="30"/>
          <w:szCs w:val="30"/>
          <w:lang w:val="en-US" w:eastAsia="zh-CN"/>
        </w:rPr>
        <w:t>一</w:t>
      </w:r>
      <w:r>
        <w:rPr>
          <w:rFonts w:hint="eastAsia" w:ascii="宋体" w:hAnsi="宋体" w:eastAsia="宋体" w:cs="Times New Roman"/>
          <w:kern w:val="0"/>
          <w:sz w:val="30"/>
          <w:szCs w:val="30"/>
          <w:lang w:eastAsia="zh-CN"/>
        </w:rPr>
        <w:t>）</w:t>
      </w:r>
      <w:r>
        <w:rPr>
          <w:rFonts w:hint="eastAsia" w:ascii="宋体" w:hAnsi="宋体" w:eastAsia="宋体" w:cs="Times New Roman"/>
          <w:kern w:val="0"/>
          <w:sz w:val="30"/>
          <w:szCs w:val="30"/>
        </w:rPr>
        <w:t>标书一式三份，标书签字人必须为竞标银行主要负责人，标书必须盖公章，信封粘贴处加盖公章（或骑缝章）。</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hint="eastAsia" w:ascii="宋体" w:hAnsi="宋体" w:eastAsia="宋体" w:cs="Times New Roman"/>
          <w:kern w:val="0"/>
          <w:sz w:val="30"/>
          <w:szCs w:val="30"/>
          <w:lang w:eastAsia="zh-CN"/>
        </w:rPr>
        <w:t>（</w:t>
      </w:r>
      <w:r>
        <w:rPr>
          <w:rFonts w:hint="eastAsia" w:ascii="宋体" w:hAnsi="宋体" w:eastAsia="宋体" w:cs="Times New Roman"/>
          <w:kern w:val="0"/>
          <w:sz w:val="30"/>
          <w:szCs w:val="30"/>
          <w:lang w:val="en-US" w:eastAsia="zh-CN"/>
        </w:rPr>
        <w:t>二</w:t>
      </w:r>
      <w:r>
        <w:rPr>
          <w:rFonts w:hint="eastAsia" w:ascii="宋体" w:hAnsi="宋体" w:eastAsia="宋体" w:cs="Times New Roman"/>
          <w:kern w:val="0"/>
          <w:sz w:val="30"/>
          <w:szCs w:val="30"/>
          <w:lang w:eastAsia="zh-CN"/>
        </w:rPr>
        <w:t>）</w:t>
      </w:r>
      <w:r>
        <w:rPr>
          <w:rFonts w:hint="eastAsia" w:ascii="宋体" w:hAnsi="宋体" w:eastAsia="宋体" w:cs="Times New Roman"/>
          <w:kern w:val="0"/>
          <w:sz w:val="30"/>
          <w:szCs w:val="30"/>
        </w:rPr>
        <w:t>参办本次投标人员需带居民身份证原件，授权参加投标人员还需带授权书。</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hint="eastAsia" w:ascii="宋体" w:hAnsi="宋体" w:eastAsia="宋体" w:cs="Times New Roman"/>
          <w:kern w:val="0"/>
          <w:sz w:val="30"/>
          <w:szCs w:val="30"/>
          <w:lang w:eastAsia="zh-CN"/>
        </w:rPr>
        <w:t>（</w:t>
      </w:r>
      <w:r>
        <w:rPr>
          <w:rFonts w:hint="eastAsia" w:ascii="宋体" w:hAnsi="宋体" w:eastAsia="宋体" w:cs="Times New Roman"/>
          <w:kern w:val="0"/>
          <w:sz w:val="30"/>
          <w:szCs w:val="30"/>
          <w:lang w:val="en-US" w:eastAsia="zh-CN"/>
        </w:rPr>
        <w:t>三</w:t>
      </w:r>
      <w:r>
        <w:rPr>
          <w:rFonts w:hint="eastAsia" w:ascii="宋体" w:hAnsi="宋体" w:eastAsia="宋体" w:cs="Times New Roman"/>
          <w:kern w:val="0"/>
          <w:sz w:val="30"/>
          <w:szCs w:val="30"/>
          <w:lang w:eastAsia="zh-CN"/>
        </w:rPr>
        <w:t>）</w:t>
      </w:r>
      <w:r>
        <w:rPr>
          <w:rFonts w:hint="eastAsia" w:ascii="宋体" w:hAnsi="宋体" w:eastAsia="宋体" w:cs="Times New Roman"/>
          <w:kern w:val="0"/>
          <w:sz w:val="30"/>
          <w:szCs w:val="30"/>
        </w:rPr>
        <w:t>中标银行需与永嘉县人民检察院签订《永嘉县人民检察院涉案暂扣款专户竞争性开户商业银行定期存款协议书》。</w:t>
      </w:r>
    </w:p>
    <w:p>
      <w:pPr>
        <w:widowControl/>
        <w:overflowPunct w:val="0"/>
        <w:autoSpaceDE w:val="0"/>
        <w:autoSpaceDN w:val="0"/>
        <w:adjustRightInd w:val="0"/>
        <w:spacing w:line="360" w:lineRule="auto"/>
        <w:ind w:firstLine="600" w:firstLineChars="200"/>
        <w:textAlignment w:val="baseline"/>
        <w:rPr>
          <w:rFonts w:hint="eastAsia" w:ascii="宋体" w:hAnsi="宋体" w:eastAsia="宋体" w:cs="Times New Roman"/>
          <w:kern w:val="0"/>
          <w:sz w:val="30"/>
          <w:szCs w:val="30"/>
          <w:lang w:eastAsia="zh-CN"/>
        </w:rPr>
      </w:pPr>
      <w:r>
        <w:rPr>
          <w:rFonts w:hint="eastAsia" w:ascii="宋体" w:hAnsi="宋体" w:eastAsia="宋体" w:cs="Times New Roman"/>
          <w:kern w:val="0"/>
          <w:sz w:val="30"/>
          <w:szCs w:val="30"/>
          <w:lang w:eastAsia="zh-CN"/>
        </w:rPr>
        <w:t>（</w:t>
      </w:r>
      <w:r>
        <w:rPr>
          <w:rFonts w:hint="eastAsia" w:ascii="宋体" w:hAnsi="宋体" w:eastAsia="宋体" w:cs="Times New Roman"/>
          <w:kern w:val="0"/>
          <w:sz w:val="30"/>
          <w:szCs w:val="30"/>
          <w:lang w:val="en-US" w:eastAsia="zh-CN"/>
        </w:rPr>
        <w:t>四</w:t>
      </w:r>
      <w:r>
        <w:rPr>
          <w:rFonts w:hint="eastAsia" w:ascii="宋体" w:hAnsi="宋体" w:eastAsia="宋体" w:cs="Times New Roman"/>
          <w:kern w:val="0"/>
          <w:sz w:val="30"/>
          <w:szCs w:val="30"/>
          <w:lang w:eastAsia="zh-CN"/>
        </w:rPr>
        <w:t>）</w:t>
      </w:r>
      <w:r>
        <w:rPr>
          <w:rFonts w:ascii="宋体" w:hAnsi="宋体" w:eastAsia="宋体" w:cs="Times New Roman"/>
          <w:kern w:val="0"/>
          <w:sz w:val="30"/>
          <w:szCs w:val="30"/>
        </w:rPr>
        <w:t>法人指标反向测评相关证明材料采取承诺制，由投标银行承诺填报数据的真实准确性</w:t>
      </w:r>
      <w:r>
        <w:rPr>
          <w:rFonts w:hint="eastAsia" w:ascii="宋体" w:hAnsi="宋体" w:eastAsia="宋体" w:cs="Times New Roman"/>
          <w:kern w:val="0"/>
          <w:sz w:val="30"/>
          <w:szCs w:val="30"/>
          <w:lang w:eastAsia="zh-CN"/>
        </w:rPr>
        <w:t>。</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hint="eastAsia" w:ascii="宋体" w:hAnsi="宋体" w:eastAsia="宋体" w:cs="Times New Roman"/>
          <w:kern w:val="0"/>
          <w:sz w:val="30"/>
          <w:szCs w:val="30"/>
          <w:lang w:eastAsia="zh-CN"/>
        </w:rPr>
        <w:t>（</w:t>
      </w:r>
      <w:r>
        <w:rPr>
          <w:rFonts w:hint="eastAsia" w:ascii="宋体" w:hAnsi="宋体" w:eastAsia="宋体" w:cs="Times New Roman"/>
          <w:kern w:val="0"/>
          <w:sz w:val="30"/>
          <w:szCs w:val="30"/>
          <w:lang w:val="en-US" w:eastAsia="zh-CN"/>
        </w:rPr>
        <w:t>五</w:t>
      </w:r>
      <w:r>
        <w:rPr>
          <w:rFonts w:hint="eastAsia" w:ascii="宋体" w:hAnsi="宋体" w:eastAsia="宋体" w:cs="Times New Roman"/>
          <w:kern w:val="0"/>
          <w:sz w:val="30"/>
          <w:szCs w:val="30"/>
          <w:lang w:eastAsia="zh-CN"/>
        </w:rPr>
        <w:t>）</w:t>
      </w:r>
      <w:r>
        <w:rPr>
          <w:rFonts w:hint="eastAsia" w:ascii="宋体" w:hAnsi="宋体" w:eastAsia="宋体" w:cs="Times New Roman"/>
          <w:kern w:val="0"/>
          <w:sz w:val="30"/>
          <w:szCs w:val="30"/>
        </w:rPr>
        <w:t>本次招投标解释权为永嘉县人民检察院。</w:t>
      </w:r>
    </w:p>
    <w:p>
      <w:pPr>
        <w:widowControl/>
        <w:overflowPunct w:val="0"/>
        <w:autoSpaceDE w:val="0"/>
        <w:autoSpaceDN w:val="0"/>
        <w:adjustRightInd w:val="0"/>
        <w:spacing w:line="360" w:lineRule="auto"/>
        <w:ind w:firstLine="602" w:firstLineChars="200"/>
        <w:textAlignment w:val="baseline"/>
        <w:rPr>
          <w:rFonts w:ascii="宋体" w:hAnsi="宋体" w:eastAsia="宋体" w:cs="Times New Roman"/>
          <w:b/>
          <w:kern w:val="0"/>
          <w:sz w:val="30"/>
          <w:szCs w:val="30"/>
        </w:rPr>
      </w:pPr>
      <w:r>
        <w:rPr>
          <w:rFonts w:hint="eastAsia" w:ascii="宋体" w:hAnsi="宋体" w:eastAsia="宋体" w:cs="Times New Roman"/>
          <w:b/>
          <w:kern w:val="0"/>
          <w:sz w:val="30"/>
          <w:szCs w:val="30"/>
        </w:rPr>
        <w:t>八、联系人及联系电话</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hint="eastAsia" w:ascii="宋体" w:hAnsi="宋体" w:eastAsia="宋体" w:cs="Times New Roman"/>
          <w:kern w:val="0"/>
          <w:sz w:val="30"/>
          <w:szCs w:val="30"/>
        </w:rPr>
        <w:t>采购单位：永嘉县人民检察院</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hint="eastAsia" w:ascii="宋体" w:hAnsi="宋体" w:eastAsia="宋体" w:cs="Times New Roman"/>
          <w:kern w:val="0"/>
          <w:sz w:val="30"/>
          <w:szCs w:val="30"/>
        </w:rPr>
        <w:t>联系人：林先生     联系电话：0577</w:t>
      </w:r>
      <w:r>
        <w:rPr>
          <w:rFonts w:ascii="宋体" w:hAnsi="宋体" w:eastAsia="宋体" w:cs="Times New Roman"/>
          <w:kern w:val="0"/>
          <w:sz w:val="30"/>
          <w:szCs w:val="30"/>
        </w:rPr>
        <w:t>- 67201081</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hint="eastAsia" w:ascii="宋体" w:hAnsi="宋体" w:eastAsia="宋体" w:cs="Times New Roman"/>
          <w:kern w:val="0"/>
          <w:sz w:val="30"/>
          <w:szCs w:val="30"/>
        </w:rPr>
        <w:t>采购代理机构名称：温州市中概工程管理咨询有限公司</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hint="eastAsia" w:ascii="宋体" w:hAnsi="宋体" w:eastAsia="宋体" w:cs="Times New Roman"/>
          <w:kern w:val="0"/>
          <w:sz w:val="30"/>
          <w:szCs w:val="30"/>
        </w:rPr>
        <w:t>联系地址：温州市永嘉县南城街道环城北路618号云碓大厦503室</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hint="eastAsia" w:ascii="宋体" w:hAnsi="宋体" w:eastAsia="宋体" w:cs="Times New Roman"/>
          <w:kern w:val="0"/>
          <w:sz w:val="30"/>
          <w:szCs w:val="30"/>
        </w:rPr>
        <w:t>联系人：胡可可</w:t>
      </w:r>
      <w:r>
        <w:rPr>
          <w:rFonts w:hint="eastAsia" w:ascii="宋体" w:hAnsi="宋体" w:eastAsia="宋体" w:cs="Times New Roman"/>
          <w:kern w:val="0"/>
          <w:sz w:val="30"/>
          <w:szCs w:val="30"/>
          <w:lang w:val="en-US" w:eastAsia="zh-CN"/>
        </w:rPr>
        <w:t xml:space="preserve">     </w:t>
      </w:r>
      <w:r>
        <w:rPr>
          <w:rFonts w:hint="eastAsia" w:ascii="宋体" w:hAnsi="宋体" w:eastAsia="宋体" w:cs="Times New Roman"/>
          <w:kern w:val="0"/>
          <w:sz w:val="30"/>
          <w:szCs w:val="30"/>
        </w:rPr>
        <w:t>联系电话：15258683545 </w:t>
      </w:r>
    </w:p>
    <w:p>
      <w:pPr>
        <w:widowControl/>
        <w:overflowPunct w:val="0"/>
        <w:autoSpaceDE w:val="0"/>
        <w:autoSpaceDN w:val="0"/>
        <w:adjustRightInd w:val="0"/>
        <w:spacing w:line="360" w:lineRule="auto"/>
        <w:ind w:left="422" w:leftChars="201" w:firstLine="600" w:firstLineChars="200"/>
        <w:textAlignment w:val="baseline"/>
        <w:rPr>
          <w:rFonts w:hint="eastAsia" w:ascii="宋体" w:hAnsi="宋体" w:eastAsia="宋体" w:cs="Times New Roman"/>
          <w:kern w:val="0"/>
          <w:sz w:val="30"/>
          <w:szCs w:val="30"/>
        </w:rPr>
      </w:pP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hint="eastAsia" w:ascii="宋体" w:hAnsi="宋体" w:eastAsia="宋体" w:cs="Times New Roman"/>
          <w:kern w:val="0"/>
          <w:sz w:val="30"/>
          <w:szCs w:val="30"/>
        </w:rPr>
        <w:t>特此公告！</w:t>
      </w:r>
    </w:p>
    <w:p>
      <w:pPr>
        <w:widowControl/>
        <w:overflowPunct w:val="0"/>
        <w:autoSpaceDE w:val="0"/>
        <w:autoSpaceDN w:val="0"/>
        <w:adjustRightInd w:val="0"/>
        <w:spacing w:line="360" w:lineRule="auto"/>
        <w:jc w:val="right"/>
        <w:textAlignment w:val="baseline"/>
        <w:rPr>
          <w:rFonts w:ascii="宋体" w:hAnsi="宋体" w:eastAsia="宋体" w:cs="Times New Roman"/>
          <w:kern w:val="0"/>
          <w:sz w:val="30"/>
          <w:szCs w:val="30"/>
        </w:rPr>
      </w:pPr>
      <w:r>
        <w:rPr>
          <w:rFonts w:hint="eastAsia" w:ascii="宋体" w:hAnsi="宋体" w:eastAsia="宋体" w:cs="Times New Roman"/>
          <w:kern w:val="0"/>
          <w:sz w:val="30"/>
          <w:szCs w:val="30"/>
        </w:rPr>
        <w:t>永嘉县人民检察院</w:t>
      </w:r>
    </w:p>
    <w:p>
      <w:pPr>
        <w:widowControl/>
        <w:overflowPunct w:val="0"/>
        <w:autoSpaceDE w:val="0"/>
        <w:autoSpaceDN w:val="0"/>
        <w:adjustRightInd w:val="0"/>
        <w:spacing w:line="360" w:lineRule="auto"/>
        <w:jc w:val="right"/>
        <w:textAlignment w:val="baseline"/>
        <w:rPr>
          <w:rFonts w:ascii="宋体" w:hAnsi="宋体" w:eastAsia="宋体" w:cs="Times New Roman"/>
          <w:kern w:val="0"/>
          <w:sz w:val="30"/>
          <w:szCs w:val="30"/>
        </w:rPr>
      </w:pPr>
      <w:r>
        <w:rPr>
          <w:rFonts w:hint="eastAsia" w:ascii="宋体" w:hAnsi="宋体" w:eastAsia="宋体" w:cs="Times New Roman"/>
          <w:kern w:val="0"/>
          <w:sz w:val="30"/>
          <w:szCs w:val="30"/>
        </w:rPr>
        <w:t>温州市中概工程管理咨询有限公司</w:t>
      </w:r>
    </w:p>
    <w:p>
      <w:pPr>
        <w:widowControl/>
        <w:overflowPunct w:val="0"/>
        <w:autoSpaceDE w:val="0"/>
        <w:autoSpaceDN w:val="0"/>
        <w:adjustRightInd w:val="0"/>
        <w:spacing w:line="360" w:lineRule="auto"/>
        <w:jc w:val="right"/>
        <w:textAlignment w:val="baseline"/>
        <w:rPr>
          <w:rFonts w:ascii="宋体" w:hAnsi="宋体" w:eastAsia="宋体" w:cs="Times New Roman"/>
          <w:kern w:val="0"/>
          <w:sz w:val="30"/>
          <w:szCs w:val="30"/>
        </w:rPr>
      </w:pPr>
      <w:r>
        <w:rPr>
          <w:rFonts w:hint="eastAsia" w:ascii="宋体" w:hAnsi="宋体" w:eastAsia="宋体" w:cs="Times New Roman"/>
          <w:kern w:val="0"/>
          <w:sz w:val="30"/>
          <w:szCs w:val="30"/>
        </w:rPr>
        <w:t> 2023年10月20日</w:t>
      </w:r>
    </w:p>
    <w:p>
      <w:pPr>
        <w:widowControl/>
        <w:jc w:val="center"/>
        <w:rPr>
          <w:rFonts w:ascii="宋体" w:hAnsi="宋体" w:eastAsia="宋体" w:cs="Times New Roman"/>
          <w:b/>
          <w:kern w:val="0"/>
          <w:sz w:val="30"/>
          <w:szCs w:val="30"/>
        </w:rPr>
      </w:pPr>
      <w:r>
        <w:rPr>
          <w:rFonts w:ascii="宋体" w:hAnsi="宋体" w:eastAsia="宋体" w:cs="新宋体"/>
          <w:b/>
          <w:kern w:val="44"/>
          <w:sz w:val="30"/>
          <w:szCs w:val="30"/>
        </w:rPr>
        <w:br w:type="page"/>
      </w:r>
      <w:bookmarkStart w:id="1" w:name="_Toc29010"/>
      <w:r>
        <w:rPr>
          <w:rFonts w:hint="eastAsia" w:ascii="宋体" w:hAnsi="宋体" w:eastAsia="宋体" w:cs="新宋体"/>
          <w:b/>
          <w:kern w:val="44"/>
          <w:sz w:val="30"/>
          <w:szCs w:val="30"/>
        </w:rPr>
        <w:t>第一部分 永嘉县人民检察院涉案暂扣款专户竞争性开户实施方案</w:t>
      </w:r>
      <w:bookmarkEnd w:id="1"/>
    </w:p>
    <w:p>
      <w:pPr>
        <w:widowControl/>
        <w:overflowPunct w:val="0"/>
        <w:autoSpaceDE w:val="0"/>
        <w:autoSpaceDN w:val="0"/>
        <w:adjustRightInd w:val="0"/>
        <w:spacing w:line="520" w:lineRule="exact"/>
        <w:jc w:val="left"/>
        <w:textAlignment w:val="baseline"/>
        <w:rPr>
          <w:rFonts w:ascii="宋体" w:hAnsi="宋体" w:eastAsia="宋体" w:cs="仿宋"/>
          <w:bCs/>
          <w:kern w:val="0"/>
          <w:sz w:val="30"/>
          <w:szCs w:val="30"/>
        </w:rPr>
      </w:pPr>
      <w:bookmarkStart w:id="2" w:name="mainSend"/>
      <w:r>
        <w:rPr>
          <w:rFonts w:hint="eastAsia" w:ascii="宋体" w:hAnsi="宋体" w:eastAsia="宋体" w:cs="仿宋"/>
          <w:bCs/>
          <w:kern w:val="0"/>
          <w:sz w:val="30"/>
          <w:szCs w:val="30"/>
        </w:rPr>
        <w:t>各有关银行：</w:t>
      </w:r>
      <w:bookmarkEnd w:id="2"/>
    </w:p>
    <w:p>
      <w:pPr>
        <w:widowControl/>
        <w:overflowPunct w:val="0"/>
        <w:autoSpaceDE w:val="0"/>
        <w:autoSpaceDN w:val="0"/>
        <w:adjustRightInd w:val="0"/>
        <w:spacing w:line="360" w:lineRule="auto"/>
        <w:ind w:firstLine="660"/>
        <w:textAlignment w:val="baseline"/>
        <w:rPr>
          <w:rFonts w:ascii="宋体" w:hAnsi="宋体" w:eastAsia="宋体" w:cs="仿宋_GB2312"/>
          <w:kern w:val="0"/>
          <w:sz w:val="30"/>
          <w:szCs w:val="30"/>
        </w:rPr>
      </w:pPr>
      <w:r>
        <w:rPr>
          <w:rFonts w:hint="eastAsia" w:ascii="宋体" w:hAnsi="宋体" w:eastAsia="宋体" w:cs="仿宋_GB2312"/>
          <w:kern w:val="0"/>
          <w:sz w:val="30"/>
          <w:szCs w:val="30"/>
        </w:rPr>
        <w:t xml:space="preserve">为进一步加强涉案暂扣款资金管理，根据《关于防止领导干部在公款存放方面发生利益冲突和利益输送的办法》(浙委办发〔2015〕8号)、《浙江省省级行政事业单位公款竞争性存放管理》（浙财预执〔2021〕7号）、《永嘉县财政局关于印发永嘉县县级行政事业单位公款竞争性存放管理办法的通知》（永财预执〔2022〕203号）文件规定，结合单位实际情况，开展本单位专户竞争性开户招投标工作，特制定本方案，具体如下：   </w:t>
      </w:r>
    </w:p>
    <w:p>
      <w:pPr>
        <w:widowControl/>
        <w:overflowPunct w:val="0"/>
        <w:autoSpaceDE w:val="0"/>
        <w:autoSpaceDN w:val="0"/>
        <w:adjustRightInd w:val="0"/>
        <w:spacing w:line="360" w:lineRule="auto"/>
        <w:ind w:firstLine="660"/>
        <w:textAlignment w:val="baseline"/>
        <w:rPr>
          <w:rFonts w:ascii="宋体" w:hAnsi="宋体" w:eastAsia="宋体" w:cs="仿宋_GB2312"/>
          <w:kern w:val="0"/>
          <w:sz w:val="30"/>
          <w:szCs w:val="30"/>
          <w:u w:val="single"/>
        </w:rPr>
      </w:pPr>
      <w:r>
        <w:rPr>
          <w:rFonts w:hint="eastAsia" w:ascii="宋体" w:hAnsi="宋体" w:eastAsia="宋体" w:cs="仿宋_GB2312"/>
          <w:b/>
          <w:kern w:val="0"/>
          <w:sz w:val="30"/>
          <w:szCs w:val="30"/>
        </w:rPr>
        <w:t>一、竞争标的：</w:t>
      </w:r>
      <w:r>
        <w:rPr>
          <w:rFonts w:hint="eastAsia" w:ascii="宋体" w:hAnsi="宋体" w:eastAsia="宋体" w:cs="仿宋_GB2312"/>
          <w:kern w:val="0"/>
          <w:sz w:val="30"/>
          <w:szCs w:val="30"/>
          <w:u w:val="single"/>
        </w:rPr>
        <w:t>竞争标的为永嘉县人民检察院涉案暂扣款专户竞争性开户受理银行，此次招标最终选择1家银行，综合得分第一名为中标银行。</w:t>
      </w:r>
    </w:p>
    <w:p>
      <w:pPr>
        <w:widowControl/>
        <w:overflowPunct w:val="0"/>
        <w:autoSpaceDE w:val="0"/>
        <w:autoSpaceDN w:val="0"/>
        <w:adjustRightInd w:val="0"/>
        <w:spacing w:line="360" w:lineRule="auto"/>
        <w:ind w:firstLine="660"/>
        <w:textAlignment w:val="baseline"/>
        <w:rPr>
          <w:rFonts w:ascii="宋体" w:hAnsi="宋体" w:eastAsia="宋体" w:cs="仿宋_GB2312"/>
          <w:kern w:val="0"/>
          <w:sz w:val="30"/>
          <w:szCs w:val="30"/>
        </w:rPr>
      </w:pPr>
      <w:r>
        <w:rPr>
          <w:rFonts w:hint="eastAsia" w:ascii="宋体" w:hAnsi="宋体" w:eastAsia="宋体" w:cs="仿宋_GB2312"/>
          <w:b/>
          <w:kern w:val="0"/>
          <w:sz w:val="30"/>
          <w:szCs w:val="30"/>
        </w:rPr>
        <w:t>二、竞存方式：</w:t>
      </w:r>
      <w:r>
        <w:rPr>
          <w:rFonts w:hint="eastAsia" w:ascii="宋体" w:hAnsi="宋体" w:eastAsia="宋体" w:cs="仿宋_GB2312"/>
          <w:kern w:val="0"/>
          <w:sz w:val="30"/>
          <w:szCs w:val="30"/>
        </w:rPr>
        <w:t>竞争性存放方式为招投标综合评分法。由永嘉县人民检察院在永嘉县公务网上发布涉案暂扣款专户竞争性开户的公告，符合条件的银行根据国家利率政策及需求，自愿参与招投标。</w:t>
      </w:r>
    </w:p>
    <w:p>
      <w:pPr>
        <w:widowControl/>
        <w:overflowPunct w:val="0"/>
        <w:autoSpaceDE w:val="0"/>
        <w:autoSpaceDN w:val="0"/>
        <w:adjustRightInd w:val="0"/>
        <w:spacing w:line="360" w:lineRule="auto"/>
        <w:ind w:firstLine="660"/>
        <w:textAlignment w:val="baseline"/>
        <w:rPr>
          <w:rFonts w:ascii="宋体" w:hAnsi="宋体" w:eastAsia="宋体" w:cs="仿宋_GB2312"/>
          <w:kern w:val="0"/>
          <w:sz w:val="30"/>
          <w:szCs w:val="30"/>
        </w:rPr>
      </w:pPr>
      <w:r>
        <w:rPr>
          <w:rFonts w:hint="eastAsia" w:ascii="宋体" w:hAnsi="宋体" w:eastAsia="宋体" w:cs="仿宋_GB2312"/>
          <w:b/>
          <w:kern w:val="0"/>
          <w:sz w:val="30"/>
          <w:szCs w:val="30"/>
        </w:rPr>
        <w:t>三、实施办法</w:t>
      </w:r>
    </w:p>
    <w:p>
      <w:pPr>
        <w:widowControl/>
        <w:overflowPunct w:val="0"/>
        <w:autoSpaceDE w:val="0"/>
        <w:autoSpaceDN w:val="0"/>
        <w:adjustRightInd w:val="0"/>
        <w:spacing w:line="360" w:lineRule="auto"/>
        <w:ind w:firstLine="630"/>
        <w:textAlignment w:val="baseline"/>
        <w:rPr>
          <w:rFonts w:ascii="宋体" w:hAnsi="宋体" w:eastAsia="宋体" w:cs="仿宋_GB2312"/>
          <w:b/>
          <w:kern w:val="0"/>
          <w:sz w:val="30"/>
          <w:szCs w:val="30"/>
        </w:rPr>
      </w:pPr>
      <w:r>
        <w:rPr>
          <w:rFonts w:hint="eastAsia" w:ascii="宋体" w:hAnsi="宋体" w:eastAsia="宋体" w:cs="仿宋_GB2312"/>
          <w:b/>
          <w:bCs/>
          <w:kern w:val="0"/>
          <w:sz w:val="30"/>
          <w:szCs w:val="30"/>
        </w:rPr>
        <w:t>（一）</w:t>
      </w:r>
      <w:r>
        <w:rPr>
          <w:rFonts w:hint="eastAsia" w:ascii="宋体" w:hAnsi="宋体" w:eastAsia="宋体" w:cs="仿宋_GB2312"/>
          <w:b/>
          <w:kern w:val="0"/>
          <w:sz w:val="30"/>
          <w:szCs w:val="30"/>
        </w:rPr>
        <w:t>确定依据</w:t>
      </w:r>
    </w:p>
    <w:p>
      <w:pPr>
        <w:widowControl/>
        <w:overflowPunct w:val="0"/>
        <w:autoSpaceDE w:val="0"/>
        <w:autoSpaceDN w:val="0"/>
        <w:adjustRightInd w:val="0"/>
        <w:spacing w:line="360" w:lineRule="auto"/>
        <w:ind w:firstLine="630"/>
        <w:textAlignment w:val="baseline"/>
        <w:rPr>
          <w:rFonts w:ascii="宋体" w:hAnsi="宋体" w:eastAsia="宋体" w:cs="仿宋_GB2312"/>
          <w:kern w:val="0"/>
          <w:sz w:val="30"/>
          <w:szCs w:val="30"/>
        </w:rPr>
      </w:pPr>
      <w:r>
        <w:rPr>
          <w:rFonts w:hint="eastAsia" w:ascii="宋体" w:hAnsi="宋体" w:eastAsia="宋体" w:cs="仿宋_GB2312"/>
          <w:kern w:val="0"/>
          <w:sz w:val="30"/>
          <w:szCs w:val="30"/>
        </w:rPr>
        <w:t>评分指标分为：</w:t>
      </w:r>
      <w:r>
        <w:rPr>
          <w:rFonts w:hint="eastAsia" w:ascii="宋体" w:hAnsi="宋体" w:eastAsia="宋体" w:cs="仿宋_GB2312"/>
          <w:b/>
          <w:kern w:val="0"/>
          <w:sz w:val="30"/>
          <w:szCs w:val="30"/>
        </w:rPr>
        <w:t>经济贡献指标（30分）</w:t>
      </w:r>
      <w:r>
        <w:rPr>
          <w:rFonts w:hint="eastAsia" w:ascii="宋体" w:hAnsi="宋体" w:eastAsia="宋体" w:cs="仿宋_GB2312"/>
          <w:kern w:val="0"/>
          <w:sz w:val="30"/>
          <w:szCs w:val="30"/>
        </w:rPr>
        <w:t>、</w:t>
      </w:r>
      <w:r>
        <w:rPr>
          <w:rFonts w:hint="eastAsia" w:ascii="宋体" w:hAnsi="宋体" w:eastAsia="宋体" w:cs="仿宋_GB2312"/>
          <w:b/>
          <w:kern w:val="0"/>
          <w:sz w:val="30"/>
          <w:szCs w:val="30"/>
        </w:rPr>
        <w:t>经营状况指标（30分）</w:t>
      </w:r>
      <w:r>
        <w:rPr>
          <w:rFonts w:hint="eastAsia" w:ascii="宋体" w:hAnsi="宋体" w:eastAsia="宋体" w:cs="仿宋_GB2312"/>
          <w:kern w:val="0"/>
          <w:sz w:val="30"/>
          <w:szCs w:val="30"/>
        </w:rPr>
        <w:t>、</w:t>
      </w:r>
      <w:r>
        <w:rPr>
          <w:rFonts w:hint="eastAsia" w:ascii="宋体" w:hAnsi="宋体" w:eastAsia="宋体" w:cs="仿宋_GB2312"/>
          <w:b/>
          <w:bCs/>
          <w:kern w:val="0"/>
          <w:sz w:val="30"/>
          <w:szCs w:val="30"/>
        </w:rPr>
        <w:t>服务水平指标（10分）</w:t>
      </w:r>
      <w:r>
        <w:rPr>
          <w:rFonts w:hint="eastAsia" w:ascii="宋体" w:hAnsi="宋体" w:eastAsia="宋体" w:cs="仿宋_GB2312"/>
          <w:kern w:val="0"/>
          <w:sz w:val="30"/>
          <w:szCs w:val="30"/>
        </w:rPr>
        <w:t>、</w:t>
      </w:r>
      <w:r>
        <w:rPr>
          <w:rFonts w:hint="eastAsia" w:ascii="宋体" w:hAnsi="宋体" w:eastAsia="宋体" w:cs="仿宋_GB2312"/>
          <w:b/>
          <w:kern w:val="0"/>
          <w:sz w:val="30"/>
          <w:szCs w:val="30"/>
        </w:rPr>
        <w:t>存款利率水平指标（30分）</w:t>
      </w:r>
      <w:r>
        <w:rPr>
          <w:rFonts w:hint="eastAsia" w:ascii="宋体" w:hAnsi="宋体" w:eastAsia="宋体" w:cs="仿宋_GB2312"/>
          <w:kern w:val="0"/>
          <w:sz w:val="30"/>
          <w:szCs w:val="30"/>
        </w:rPr>
        <w:t>四部分。评委根据竞标银行四个指标的得分计算综合得分，并按照综合得分从高到低排名确定中标银行，综合得分相同时，以竞标银行经济贡献指标得分高低进行排序。除存款利率水平指标、法人指标反向测评指标、贷款不良率指标、服务水平指标是根据竞标银行的标书内容现场计算外，其余指标的得分将通过人民银行永嘉县支行（以下简称县人行）、国家税务总局永嘉县税务局（以下简称</w:t>
      </w:r>
      <w:bookmarkStart w:id="3" w:name="_Hlk95383247"/>
      <w:r>
        <w:rPr>
          <w:rFonts w:hint="eastAsia" w:ascii="宋体" w:hAnsi="宋体" w:eastAsia="宋体" w:cs="仿宋_GB2312"/>
          <w:kern w:val="0"/>
          <w:sz w:val="30"/>
          <w:szCs w:val="30"/>
        </w:rPr>
        <w:t>县税务局</w:t>
      </w:r>
      <w:bookmarkEnd w:id="3"/>
      <w:r>
        <w:rPr>
          <w:rFonts w:hint="eastAsia" w:ascii="宋体" w:hAnsi="宋体" w:eastAsia="宋体" w:cs="仿宋_GB2312"/>
          <w:kern w:val="0"/>
          <w:sz w:val="30"/>
          <w:szCs w:val="30"/>
        </w:rPr>
        <w:t>）</w:t>
      </w:r>
      <w:r>
        <w:rPr>
          <w:rFonts w:hint="eastAsia" w:ascii="宋体" w:hAnsi="宋体" w:eastAsia="宋体" w:cs="Times New Roman"/>
          <w:kern w:val="0"/>
          <w:sz w:val="30"/>
          <w:szCs w:val="30"/>
        </w:rPr>
        <w:t>、永嘉县金融工作服务中心（以下简称县金融服务中心）、永嘉县财政局（</w:t>
      </w:r>
      <w:r>
        <w:rPr>
          <w:rFonts w:hint="eastAsia" w:ascii="宋体" w:hAnsi="宋体" w:eastAsia="宋体" w:cs="仿宋_GB2312"/>
          <w:kern w:val="0"/>
          <w:sz w:val="30"/>
          <w:szCs w:val="30"/>
        </w:rPr>
        <w:t>县财政局</w:t>
      </w:r>
      <w:r>
        <w:rPr>
          <w:rFonts w:hint="eastAsia" w:ascii="宋体" w:hAnsi="宋体" w:eastAsia="宋体" w:cs="Times New Roman"/>
          <w:kern w:val="0"/>
          <w:sz w:val="30"/>
          <w:szCs w:val="30"/>
        </w:rPr>
        <w:t>）</w:t>
      </w:r>
      <w:r>
        <w:rPr>
          <w:rFonts w:hint="eastAsia" w:ascii="宋体" w:hAnsi="宋体" w:eastAsia="宋体" w:cs="仿宋_GB2312"/>
          <w:kern w:val="0"/>
          <w:sz w:val="30"/>
          <w:szCs w:val="30"/>
        </w:rPr>
        <w:t>等单位提供的数据为依据，根据评标标准计算获得。</w:t>
      </w:r>
    </w:p>
    <w:p>
      <w:pPr>
        <w:widowControl/>
        <w:overflowPunct w:val="0"/>
        <w:autoSpaceDE w:val="0"/>
        <w:autoSpaceDN w:val="0"/>
        <w:adjustRightInd w:val="0"/>
        <w:spacing w:line="360" w:lineRule="auto"/>
        <w:ind w:firstLine="602" w:firstLineChars="200"/>
        <w:textAlignment w:val="baseline"/>
        <w:rPr>
          <w:rFonts w:ascii="宋体" w:hAnsi="宋体" w:eastAsia="宋体" w:cs="仿宋_GB2312"/>
          <w:b/>
          <w:kern w:val="0"/>
          <w:sz w:val="30"/>
          <w:szCs w:val="30"/>
        </w:rPr>
      </w:pPr>
      <w:r>
        <w:rPr>
          <w:rFonts w:hint="eastAsia" w:ascii="宋体" w:hAnsi="宋体" w:eastAsia="宋体" w:cs="仿宋_GB2312"/>
          <w:b/>
          <w:bCs/>
          <w:kern w:val="0"/>
          <w:sz w:val="30"/>
          <w:szCs w:val="30"/>
        </w:rPr>
        <w:t>（二）</w:t>
      </w:r>
      <w:r>
        <w:rPr>
          <w:rFonts w:hint="eastAsia" w:ascii="宋体" w:hAnsi="宋体" w:eastAsia="宋体" w:cs="仿宋_GB2312"/>
          <w:b/>
          <w:kern w:val="0"/>
          <w:sz w:val="30"/>
          <w:szCs w:val="30"/>
        </w:rPr>
        <w:t>评标方法</w:t>
      </w:r>
    </w:p>
    <w:p>
      <w:pPr>
        <w:widowControl/>
        <w:overflowPunct w:val="0"/>
        <w:autoSpaceDE w:val="0"/>
        <w:autoSpaceDN w:val="0"/>
        <w:adjustRightInd w:val="0"/>
        <w:spacing w:line="360" w:lineRule="auto"/>
        <w:ind w:firstLine="645"/>
        <w:textAlignment w:val="baseline"/>
        <w:rPr>
          <w:rFonts w:ascii="宋体" w:hAnsi="宋体" w:eastAsia="宋体" w:cs="仿宋_GB2312"/>
          <w:kern w:val="0"/>
          <w:sz w:val="30"/>
          <w:szCs w:val="30"/>
        </w:rPr>
      </w:pPr>
      <w:r>
        <w:rPr>
          <w:rFonts w:hint="eastAsia" w:ascii="宋体" w:hAnsi="宋体" w:eastAsia="宋体" w:cs="仿宋_GB2312"/>
          <w:kern w:val="0"/>
          <w:sz w:val="30"/>
          <w:szCs w:val="30"/>
        </w:rPr>
        <w:t>招投标评标方法采用综合评分法（保留小数点2位数）。评委根据竞标银行申报的经济贡献指标、经营状况指标、服务水平指标和存款利率水平指标计算综合得分。</w:t>
      </w:r>
    </w:p>
    <w:p>
      <w:pPr>
        <w:widowControl/>
        <w:overflowPunct w:val="0"/>
        <w:autoSpaceDE w:val="0"/>
        <w:autoSpaceDN w:val="0"/>
        <w:adjustRightInd w:val="0"/>
        <w:spacing w:line="360" w:lineRule="auto"/>
        <w:ind w:firstLine="645"/>
        <w:textAlignment w:val="baseline"/>
        <w:rPr>
          <w:rFonts w:ascii="宋体" w:hAnsi="宋体" w:eastAsia="宋体" w:cs="仿宋_GB2312"/>
          <w:kern w:val="0"/>
          <w:sz w:val="30"/>
          <w:szCs w:val="30"/>
        </w:rPr>
      </w:pPr>
      <w:r>
        <w:rPr>
          <w:rFonts w:hint="eastAsia" w:ascii="宋体" w:hAnsi="宋体" w:eastAsia="宋体" w:cs="仿宋_GB2312"/>
          <w:b/>
          <w:bCs/>
          <w:kern w:val="0"/>
          <w:sz w:val="30"/>
          <w:szCs w:val="30"/>
        </w:rPr>
        <w:t>（三）</w:t>
      </w:r>
      <w:r>
        <w:rPr>
          <w:rFonts w:hint="eastAsia" w:ascii="宋体" w:hAnsi="宋体" w:eastAsia="宋体" w:cs="仿宋_GB2312"/>
          <w:b/>
          <w:kern w:val="0"/>
          <w:sz w:val="30"/>
          <w:szCs w:val="30"/>
        </w:rPr>
        <w:t>评分指标</w:t>
      </w:r>
    </w:p>
    <w:p>
      <w:pPr>
        <w:widowControl/>
        <w:overflowPunct w:val="0"/>
        <w:autoSpaceDE w:val="0"/>
        <w:autoSpaceDN w:val="0"/>
        <w:adjustRightInd w:val="0"/>
        <w:spacing w:line="360" w:lineRule="auto"/>
        <w:ind w:firstLine="645"/>
        <w:textAlignment w:val="baseline"/>
        <w:rPr>
          <w:rFonts w:ascii="宋体" w:hAnsi="宋体" w:eastAsia="宋体" w:cs="仿宋_GB2312"/>
          <w:b/>
          <w:kern w:val="0"/>
          <w:sz w:val="30"/>
          <w:szCs w:val="30"/>
        </w:rPr>
      </w:pPr>
      <w:r>
        <w:rPr>
          <w:rFonts w:hint="eastAsia" w:ascii="宋体" w:hAnsi="宋体" w:eastAsia="宋体" w:cs="仿宋_GB2312"/>
          <w:b/>
          <w:kern w:val="0"/>
          <w:sz w:val="30"/>
          <w:szCs w:val="30"/>
        </w:rPr>
        <w:t>1、经济贡献指标（30分）。</w:t>
      </w:r>
    </w:p>
    <w:p>
      <w:pPr>
        <w:widowControl/>
        <w:tabs>
          <w:tab w:val="left" w:pos="720"/>
        </w:tabs>
        <w:overflowPunct w:val="0"/>
        <w:autoSpaceDE w:val="0"/>
        <w:autoSpaceDN w:val="0"/>
        <w:adjustRightInd w:val="0"/>
        <w:spacing w:line="360" w:lineRule="auto"/>
        <w:ind w:firstLine="602" w:firstLineChars="200"/>
        <w:textAlignment w:val="baseline"/>
        <w:rPr>
          <w:rFonts w:ascii="宋体" w:hAnsi="宋体" w:eastAsia="宋体" w:cs="仿宋_GB2312"/>
          <w:kern w:val="0"/>
          <w:sz w:val="30"/>
          <w:szCs w:val="30"/>
        </w:rPr>
      </w:pPr>
      <w:r>
        <w:rPr>
          <w:rFonts w:hint="eastAsia" w:ascii="宋体" w:hAnsi="宋体" w:eastAsia="宋体" w:cs="仿宋_GB2312"/>
          <w:b/>
          <w:bCs/>
          <w:kern w:val="0"/>
          <w:sz w:val="30"/>
          <w:szCs w:val="30"/>
        </w:rPr>
        <w:t>①</w:t>
      </w:r>
      <w:r>
        <w:rPr>
          <w:rFonts w:hint="eastAsia" w:ascii="宋体" w:hAnsi="宋体" w:eastAsia="宋体" w:cs="仿宋_GB2312"/>
          <w:kern w:val="0"/>
          <w:sz w:val="30"/>
          <w:szCs w:val="30"/>
        </w:rPr>
        <w:t>上年度地方综合贡献指标，分值25分，反映各竞标银行上年度对当地财政的地方综合贡献情况。该指标以永嘉县税务局提供的2022年度银行业金融机构地方综合贡献度排名为计分依据，按照所有可竞标银行的地方综合贡献度排名先后依次赋分。排名第一名得满分25分，依次递减2分,递减到0分为止。</w:t>
      </w:r>
      <w:r>
        <w:rPr>
          <w:rFonts w:ascii="宋体" w:hAnsi="宋体" w:eastAsia="宋体" w:cs="仿宋_GB2312"/>
          <w:kern w:val="0"/>
          <w:sz w:val="30"/>
          <w:szCs w:val="30"/>
        </w:rPr>
        <w:t>（此项数据由县税务局提供和解释，投标人无需另行提供证明。）</w:t>
      </w:r>
    </w:p>
    <w:p>
      <w:pPr>
        <w:widowControl/>
        <w:tabs>
          <w:tab w:val="left" w:pos="720"/>
        </w:tabs>
        <w:overflowPunct w:val="0"/>
        <w:autoSpaceDE w:val="0"/>
        <w:autoSpaceDN w:val="0"/>
        <w:adjustRightInd w:val="0"/>
        <w:spacing w:line="360" w:lineRule="auto"/>
        <w:ind w:firstLine="602" w:firstLineChars="200"/>
        <w:textAlignment w:val="baseline"/>
        <w:rPr>
          <w:rFonts w:ascii="宋体" w:hAnsi="宋体" w:eastAsia="宋体" w:cs="仿宋_GB2312"/>
          <w:kern w:val="0"/>
          <w:sz w:val="30"/>
          <w:szCs w:val="30"/>
        </w:rPr>
      </w:pPr>
      <w:r>
        <w:rPr>
          <w:rFonts w:hint="eastAsia" w:ascii="宋体" w:hAnsi="宋体" w:eastAsia="宋体" w:cs="仿宋_GB2312"/>
          <w:b/>
          <w:bCs/>
          <w:kern w:val="0"/>
          <w:sz w:val="30"/>
          <w:szCs w:val="30"/>
        </w:rPr>
        <w:t>②</w:t>
      </w:r>
      <w:r>
        <w:rPr>
          <w:rFonts w:hint="eastAsia" w:ascii="宋体" w:hAnsi="宋体" w:eastAsia="宋体" w:cs="仿宋_GB2312"/>
          <w:kern w:val="0"/>
          <w:sz w:val="30"/>
          <w:szCs w:val="30"/>
        </w:rPr>
        <w:t>上一年度金融业绩考核指标，分值5</w:t>
      </w:r>
      <w:r>
        <w:rPr>
          <w:rFonts w:ascii="宋体" w:hAnsi="宋体" w:eastAsia="宋体" w:cs="仿宋_GB2312"/>
          <w:kern w:val="0"/>
          <w:sz w:val="30"/>
          <w:szCs w:val="30"/>
        </w:rPr>
        <w:t>分，以各竞标的银行2022年度永嘉县银行业金融机构考绩结果为计分依据，被评定为优秀单位得</w:t>
      </w:r>
      <w:r>
        <w:rPr>
          <w:rFonts w:hint="eastAsia" w:ascii="宋体" w:hAnsi="宋体" w:eastAsia="宋体" w:cs="仿宋_GB2312"/>
          <w:kern w:val="0"/>
          <w:sz w:val="30"/>
          <w:szCs w:val="30"/>
        </w:rPr>
        <w:t>5</w:t>
      </w:r>
      <w:r>
        <w:rPr>
          <w:rFonts w:ascii="宋体" w:hAnsi="宋体" w:eastAsia="宋体" w:cs="仿宋_GB2312"/>
          <w:kern w:val="0"/>
          <w:sz w:val="30"/>
          <w:szCs w:val="30"/>
        </w:rPr>
        <w:t>分；被评定为良好单位得</w:t>
      </w:r>
      <w:r>
        <w:rPr>
          <w:rFonts w:hint="eastAsia" w:ascii="宋体" w:hAnsi="宋体" w:eastAsia="宋体" w:cs="仿宋_GB2312"/>
          <w:kern w:val="0"/>
          <w:sz w:val="30"/>
          <w:szCs w:val="30"/>
        </w:rPr>
        <w:t>3</w:t>
      </w:r>
      <w:r>
        <w:rPr>
          <w:rFonts w:ascii="宋体" w:hAnsi="宋体" w:eastAsia="宋体" w:cs="仿宋_GB2312"/>
          <w:kern w:val="0"/>
          <w:sz w:val="30"/>
          <w:szCs w:val="30"/>
        </w:rPr>
        <w:t>分；其余得0分。（此项数据由县金融服务中心提供和解释，投标人无需另行提供证明。）</w:t>
      </w:r>
    </w:p>
    <w:p>
      <w:pPr>
        <w:widowControl/>
        <w:tabs>
          <w:tab w:val="left" w:pos="720"/>
        </w:tabs>
        <w:overflowPunct w:val="0"/>
        <w:autoSpaceDE w:val="0"/>
        <w:autoSpaceDN w:val="0"/>
        <w:adjustRightInd w:val="0"/>
        <w:spacing w:line="360" w:lineRule="auto"/>
        <w:ind w:firstLine="600" w:firstLineChars="200"/>
        <w:textAlignment w:val="baseline"/>
        <w:rPr>
          <w:rFonts w:ascii="宋体" w:hAnsi="宋体" w:eastAsia="宋体" w:cs="仿宋_GB2312"/>
          <w:kern w:val="0"/>
          <w:sz w:val="30"/>
          <w:szCs w:val="30"/>
        </w:rPr>
      </w:pPr>
      <w:r>
        <w:rPr>
          <w:rFonts w:hint="eastAsia" w:ascii="宋体" w:hAnsi="宋体" w:eastAsia="宋体" w:cs="仿宋_GB2312"/>
          <w:kern w:val="0"/>
          <w:sz w:val="30"/>
          <w:szCs w:val="30"/>
        </w:rPr>
        <w:t>经济贡献度指标得分=上年度地方综合贡献指标得分+上一年度金融业绩考核指标得分。</w:t>
      </w:r>
    </w:p>
    <w:p>
      <w:pPr>
        <w:widowControl/>
        <w:tabs>
          <w:tab w:val="left" w:pos="720"/>
        </w:tabs>
        <w:overflowPunct w:val="0"/>
        <w:autoSpaceDE w:val="0"/>
        <w:autoSpaceDN w:val="0"/>
        <w:adjustRightInd w:val="0"/>
        <w:spacing w:line="360" w:lineRule="auto"/>
        <w:ind w:firstLine="602" w:firstLineChars="200"/>
        <w:textAlignment w:val="baseline"/>
        <w:rPr>
          <w:rFonts w:ascii="宋体" w:hAnsi="宋体" w:eastAsia="宋体" w:cs="仿宋_GB2312"/>
          <w:kern w:val="0"/>
          <w:sz w:val="30"/>
          <w:szCs w:val="30"/>
        </w:rPr>
      </w:pPr>
      <w:r>
        <w:rPr>
          <w:rFonts w:hint="eastAsia" w:ascii="宋体" w:hAnsi="宋体" w:eastAsia="宋体" w:cs="仿宋_GB2312"/>
          <w:b/>
          <w:kern w:val="0"/>
          <w:sz w:val="30"/>
          <w:szCs w:val="30"/>
        </w:rPr>
        <w:t>2、经营状况指标（30分）。</w:t>
      </w:r>
      <w:r>
        <w:rPr>
          <w:rFonts w:hint="eastAsia" w:ascii="宋体" w:hAnsi="宋体" w:eastAsia="宋体" w:cs="仿宋_GB2312"/>
          <w:kern w:val="0"/>
          <w:sz w:val="30"/>
          <w:szCs w:val="30"/>
        </w:rPr>
        <w:t>该指标为竞标银行贷款不良率、法人指标反向测评指标，反映竞标银行总体经营状况。</w:t>
      </w:r>
    </w:p>
    <w:p>
      <w:pPr>
        <w:widowControl/>
        <w:tabs>
          <w:tab w:val="left" w:pos="720"/>
        </w:tabs>
        <w:overflowPunct w:val="0"/>
        <w:autoSpaceDE w:val="0"/>
        <w:autoSpaceDN w:val="0"/>
        <w:adjustRightInd w:val="0"/>
        <w:spacing w:line="360" w:lineRule="auto"/>
        <w:ind w:firstLine="602" w:firstLineChars="200"/>
        <w:textAlignment w:val="baseline"/>
        <w:rPr>
          <w:rFonts w:ascii="宋体" w:hAnsi="宋体" w:eastAsia="宋体" w:cs="仿宋_GB2312"/>
          <w:kern w:val="0"/>
          <w:sz w:val="30"/>
          <w:szCs w:val="30"/>
        </w:rPr>
      </w:pPr>
      <w:r>
        <w:rPr>
          <w:rFonts w:hint="eastAsia" w:ascii="宋体" w:hAnsi="宋体" w:eastAsia="宋体" w:cs="仿宋_GB2312"/>
          <w:b/>
          <w:bCs/>
          <w:kern w:val="0"/>
          <w:sz w:val="30"/>
          <w:szCs w:val="30"/>
        </w:rPr>
        <w:t>①贷款不良率指标，</w:t>
      </w:r>
      <w:r>
        <w:rPr>
          <w:rFonts w:hint="eastAsia" w:ascii="宋体" w:hAnsi="宋体" w:eastAsia="宋体" w:cs="仿宋_GB2312"/>
          <w:kern w:val="0"/>
          <w:sz w:val="30"/>
          <w:szCs w:val="30"/>
        </w:rPr>
        <w:t>分值5分，以县人行2023年9月份竞标银行的人民币贷款不良率由低到高的排名数据为计分依据，按排名先后依次赋分，第一名得满分5分，依次递减0.5分,递减到0分为止。</w:t>
      </w:r>
      <w:r>
        <w:rPr>
          <w:rFonts w:ascii="宋体" w:hAnsi="宋体" w:eastAsia="宋体" w:cs="仿宋_GB2312"/>
          <w:kern w:val="0"/>
          <w:sz w:val="30"/>
          <w:szCs w:val="30"/>
        </w:rPr>
        <w:t>（此项数据由各</w:t>
      </w:r>
      <w:r>
        <w:rPr>
          <w:rFonts w:hint="eastAsia" w:ascii="宋体" w:hAnsi="宋体" w:eastAsia="宋体" w:cs="仿宋_GB2312"/>
          <w:kern w:val="0"/>
          <w:sz w:val="30"/>
          <w:szCs w:val="30"/>
        </w:rPr>
        <w:t>竞标银行各自</w:t>
      </w:r>
      <w:r>
        <w:rPr>
          <w:rFonts w:ascii="宋体" w:hAnsi="宋体" w:eastAsia="宋体" w:cs="仿宋_GB2312"/>
          <w:kern w:val="0"/>
          <w:sz w:val="30"/>
          <w:szCs w:val="30"/>
        </w:rPr>
        <w:t>提供，不提供不得分。）</w:t>
      </w:r>
    </w:p>
    <w:p>
      <w:pPr>
        <w:widowControl/>
        <w:tabs>
          <w:tab w:val="left" w:pos="720"/>
        </w:tabs>
        <w:overflowPunct w:val="0"/>
        <w:autoSpaceDE w:val="0"/>
        <w:autoSpaceDN w:val="0"/>
        <w:adjustRightInd w:val="0"/>
        <w:spacing w:line="360" w:lineRule="auto"/>
        <w:ind w:firstLine="602" w:firstLineChars="200"/>
        <w:textAlignment w:val="baseline"/>
        <w:rPr>
          <w:rFonts w:ascii="宋体" w:hAnsi="宋体" w:eastAsia="宋体" w:cs="仿宋_GB2312"/>
          <w:kern w:val="0"/>
          <w:sz w:val="30"/>
          <w:szCs w:val="30"/>
        </w:rPr>
      </w:pPr>
      <w:r>
        <w:rPr>
          <w:rFonts w:hint="eastAsia" w:ascii="宋体" w:hAnsi="宋体" w:eastAsia="宋体" w:cs="仿宋_GB2312"/>
          <w:b/>
          <w:bCs/>
          <w:kern w:val="0"/>
          <w:sz w:val="30"/>
          <w:szCs w:val="30"/>
        </w:rPr>
        <w:t>②</w:t>
      </w:r>
      <w:r>
        <w:rPr>
          <w:rFonts w:hint="eastAsia" w:ascii="宋体" w:hAnsi="宋体" w:eastAsia="宋体" w:cs="仿宋_GB2312"/>
          <w:b/>
          <w:kern w:val="0"/>
          <w:sz w:val="30"/>
          <w:szCs w:val="30"/>
        </w:rPr>
        <w:t>法人指标反向测评指标</w:t>
      </w:r>
      <w:r>
        <w:rPr>
          <w:rFonts w:hint="eastAsia" w:ascii="宋体" w:hAnsi="宋体" w:eastAsia="宋体" w:cs="仿宋_GB2312"/>
          <w:b/>
          <w:bCs/>
          <w:kern w:val="0"/>
          <w:sz w:val="30"/>
          <w:szCs w:val="30"/>
        </w:rPr>
        <w:t>，</w:t>
      </w:r>
      <w:r>
        <w:rPr>
          <w:rFonts w:hint="eastAsia" w:ascii="宋体" w:hAnsi="宋体" w:eastAsia="宋体" w:cs="仿宋_GB2312"/>
          <w:kern w:val="0"/>
          <w:sz w:val="30"/>
          <w:szCs w:val="30"/>
        </w:rPr>
        <w:t>该指标实行总分倒扣制，倒扣前总分25分，以各银行提供的该行总行经审计公布的上年度年报数据为测评依据，具体包括：资本充足率、一级资本充足率、核心一级资本充足率、拨备覆盖率、流动性比例等5项指标，各项指标数值符合银行监管标准的，不扣分，否则按低于银行监管标准的情况，每出现一项倒扣5分。</w:t>
      </w:r>
    </w:p>
    <w:p>
      <w:pPr>
        <w:widowControl/>
        <w:tabs>
          <w:tab w:val="left" w:pos="720"/>
        </w:tabs>
        <w:overflowPunct w:val="0"/>
        <w:autoSpaceDE w:val="0"/>
        <w:autoSpaceDN w:val="0"/>
        <w:adjustRightInd w:val="0"/>
        <w:spacing w:line="360" w:lineRule="auto"/>
        <w:ind w:firstLine="600" w:firstLineChars="200"/>
        <w:textAlignment w:val="baseline"/>
        <w:rPr>
          <w:rFonts w:ascii="宋体" w:hAnsi="宋体" w:eastAsia="宋体" w:cs="仿宋_GB2312"/>
          <w:kern w:val="0"/>
          <w:sz w:val="30"/>
          <w:szCs w:val="30"/>
        </w:rPr>
      </w:pPr>
      <w:r>
        <w:rPr>
          <w:rFonts w:hint="eastAsia" w:ascii="宋体" w:hAnsi="宋体" w:eastAsia="宋体" w:cs="仿宋_GB2312"/>
          <w:kern w:val="0"/>
          <w:sz w:val="30"/>
          <w:szCs w:val="30"/>
        </w:rPr>
        <w:t>在财政资金竞存工作开展后，若有银行（政策性银行除外）无法提供上年度该行总行年报数据，法人反向测评指标不得分，政策性银行暂不施行法人指标反向测评，法人指标反向测评赋满分。</w:t>
      </w:r>
    </w:p>
    <w:p>
      <w:pPr>
        <w:widowControl/>
        <w:tabs>
          <w:tab w:val="left" w:pos="720"/>
        </w:tabs>
        <w:overflowPunct w:val="0"/>
        <w:autoSpaceDE w:val="0"/>
        <w:autoSpaceDN w:val="0"/>
        <w:adjustRightInd w:val="0"/>
        <w:spacing w:line="360" w:lineRule="auto"/>
        <w:ind w:firstLine="602" w:firstLineChars="200"/>
        <w:textAlignment w:val="baseline"/>
        <w:rPr>
          <w:rFonts w:ascii="宋体" w:hAnsi="宋体" w:eastAsia="宋体" w:cs="仿宋_GB2312"/>
          <w:kern w:val="0"/>
          <w:sz w:val="30"/>
          <w:szCs w:val="30"/>
        </w:rPr>
      </w:pPr>
      <w:r>
        <w:rPr>
          <w:rFonts w:hint="eastAsia" w:ascii="宋体" w:hAnsi="宋体" w:eastAsia="宋体" w:cs="仿宋_GB2312"/>
          <w:b/>
          <w:bCs/>
          <w:kern w:val="0"/>
          <w:sz w:val="30"/>
          <w:szCs w:val="30"/>
        </w:rPr>
        <w:t>经济状况指标得分</w:t>
      </w:r>
      <w:r>
        <w:rPr>
          <w:rFonts w:hint="eastAsia" w:ascii="宋体" w:hAnsi="宋体" w:eastAsia="宋体" w:cs="仿宋_GB2312"/>
          <w:kern w:val="0"/>
          <w:sz w:val="30"/>
          <w:szCs w:val="30"/>
        </w:rPr>
        <w:t>=贷款不良率指标得分+法人指标反向测评指标得分。</w:t>
      </w:r>
    </w:p>
    <w:p>
      <w:pPr>
        <w:widowControl/>
        <w:overflowPunct w:val="0"/>
        <w:autoSpaceDE w:val="0"/>
        <w:autoSpaceDN w:val="0"/>
        <w:adjustRightInd w:val="0"/>
        <w:spacing w:line="360" w:lineRule="auto"/>
        <w:ind w:firstLine="602" w:firstLineChars="200"/>
        <w:textAlignment w:val="baseline"/>
        <w:rPr>
          <w:rFonts w:ascii="宋体" w:hAnsi="宋体" w:eastAsia="宋体" w:cs="仿宋_GB2312"/>
          <w:b/>
          <w:kern w:val="0"/>
          <w:sz w:val="30"/>
          <w:szCs w:val="30"/>
        </w:rPr>
      </w:pPr>
      <w:r>
        <w:rPr>
          <w:rFonts w:hint="eastAsia" w:ascii="宋体" w:hAnsi="宋体" w:eastAsia="宋体" w:cs="仿宋_GB2312"/>
          <w:b/>
          <w:bCs/>
          <w:kern w:val="0"/>
          <w:sz w:val="30"/>
          <w:szCs w:val="30"/>
        </w:rPr>
        <w:t>3、服务水平指标（10分）</w:t>
      </w:r>
      <w:r>
        <w:rPr>
          <w:rFonts w:hint="eastAsia" w:ascii="宋体" w:hAnsi="宋体" w:eastAsia="宋体" w:cs="仿宋_GB2312"/>
          <w:b/>
          <w:kern w:val="0"/>
          <w:sz w:val="30"/>
          <w:szCs w:val="30"/>
        </w:rPr>
        <w:t>。</w:t>
      </w:r>
    </w:p>
    <w:p>
      <w:pPr>
        <w:widowControl/>
        <w:overflowPunct w:val="0"/>
        <w:autoSpaceDE w:val="0"/>
        <w:autoSpaceDN w:val="0"/>
        <w:adjustRightInd w:val="0"/>
        <w:spacing w:line="360" w:lineRule="auto"/>
        <w:ind w:firstLine="602" w:firstLineChars="200"/>
        <w:textAlignment w:val="baseline"/>
        <w:rPr>
          <w:rFonts w:ascii="宋体" w:hAnsi="宋体" w:eastAsia="宋体" w:cs="仿宋_GB2312"/>
          <w:b/>
          <w:bCs/>
          <w:kern w:val="0"/>
          <w:sz w:val="30"/>
          <w:szCs w:val="30"/>
        </w:rPr>
      </w:pPr>
      <w:r>
        <w:rPr>
          <w:rFonts w:hint="eastAsia" w:ascii="宋体" w:hAnsi="宋体" w:eastAsia="宋体" w:cs="仿宋_GB2312"/>
          <w:b/>
          <w:bCs/>
          <w:kern w:val="0"/>
          <w:sz w:val="30"/>
          <w:szCs w:val="30"/>
        </w:rPr>
        <w:t>①日常服务承诺指标（5分）。</w:t>
      </w:r>
    </w:p>
    <w:p>
      <w:pPr>
        <w:widowControl/>
        <w:tabs>
          <w:tab w:val="left" w:pos="720"/>
        </w:tabs>
        <w:overflowPunct w:val="0"/>
        <w:autoSpaceDE w:val="0"/>
        <w:autoSpaceDN w:val="0"/>
        <w:adjustRightInd w:val="0"/>
        <w:spacing w:line="360" w:lineRule="auto"/>
        <w:ind w:firstLine="600" w:firstLineChars="200"/>
        <w:textAlignment w:val="baseline"/>
        <w:rPr>
          <w:rFonts w:ascii="宋体" w:hAnsi="宋体" w:eastAsia="宋体" w:cs="仿宋_GB2312"/>
          <w:kern w:val="0"/>
          <w:sz w:val="30"/>
          <w:szCs w:val="30"/>
        </w:rPr>
      </w:pPr>
      <w:r>
        <w:rPr>
          <w:rFonts w:hint="eastAsia" w:ascii="宋体" w:hAnsi="宋体" w:eastAsia="宋体" w:cs="仿宋_GB2312"/>
          <w:kern w:val="0"/>
          <w:sz w:val="30"/>
          <w:szCs w:val="30"/>
        </w:rPr>
        <w:t>a.承诺基本信息提供及时；</w:t>
      </w:r>
    </w:p>
    <w:p>
      <w:pPr>
        <w:widowControl/>
        <w:tabs>
          <w:tab w:val="left" w:pos="720"/>
        </w:tabs>
        <w:overflowPunct w:val="0"/>
        <w:autoSpaceDE w:val="0"/>
        <w:autoSpaceDN w:val="0"/>
        <w:adjustRightInd w:val="0"/>
        <w:spacing w:line="360" w:lineRule="auto"/>
        <w:ind w:firstLine="600" w:firstLineChars="200"/>
        <w:textAlignment w:val="baseline"/>
        <w:rPr>
          <w:rFonts w:ascii="宋体" w:hAnsi="宋体" w:eastAsia="宋体" w:cs="仿宋_GB2312"/>
          <w:kern w:val="0"/>
          <w:sz w:val="30"/>
          <w:szCs w:val="30"/>
        </w:rPr>
      </w:pPr>
      <w:r>
        <w:rPr>
          <w:rFonts w:hint="eastAsia" w:ascii="宋体" w:hAnsi="宋体" w:eastAsia="宋体" w:cs="仿宋_GB2312"/>
          <w:kern w:val="0"/>
          <w:sz w:val="30"/>
          <w:szCs w:val="30"/>
        </w:rPr>
        <w:t>b.承诺提供上门服务；</w:t>
      </w:r>
    </w:p>
    <w:p>
      <w:pPr>
        <w:widowControl/>
        <w:tabs>
          <w:tab w:val="left" w:pos="720"/>
        </w:tabs>
        <w:overflowPunct w:val="0"/>
        <w:autoSpaceDE w:val="0"/>
        <w:autoSpaceDN w:val="0"/>
        <w:adjustRightInd w:val="0"/>
        <w:spacing w:line="360" w:lineRule="auto"/>
        <w:ind w:firstLine="600" w:firstLineChars="200"/>
        <w:textAlignment w:val="baseline"/>
        <w:rPr>
          <w:rFonts w:ascii="宋体" w:hAnsi="宋体" w:eastAsia="宋体" w:cs="仿宋_GB2312"/>
          <w:kern w:val="0"/>
          <w:sz w:val="30"/>
          <w:szCs w:val="30"/>
        </w:rPr>
      </w:pPr>
      <w:r>
        <w:rPr>
          <w:rFonts w:hint="eastAsia" w:ascii="宋体" w:hAnsi="宋体" w:eastAsia="宋体" w:cs="仿宋_GB2312"/>
          <w:kern w:val="0"/>
          <w:sz w:val="30"/>
          <w:szCs w:val="30"/>
        </w:rPr>
        <w:t>c.承诺自收的各项服务费用全免；</w:t>
      </w:r>
    </w:p>
    <w:p>
      <w:pPr>
        <w:widowControl/>
        <w:tabs>
          <w:tab w:val="left" w:pos="720"/>
        </w:tabs>
        <w:overflowPunct w:val="0"/>
        <w:autoSpaceDE w:val="0"/>
        <w:autoSpaceDN w:val="0"/>
        <w:adjustRightInd w:val="0"/>
        <w:spacing w:line="360" w:lineRule="auto"/>
        <w:ind w:firstLine="600" w:firstLineChars="200"/>
        <w:textAlignment w:val="baseline"/>
        <w:rPr>
          <w:rFonts w:ascii="宋体" w:hAnsi="宋体" w:eastAsia="宋体" w:cs="仿宋_GB2312"/>
          <w:kern w:val="0"/>
          <w:sz w:val="30"/>
          <w:szCs w:val="30"/>
        </w:rPr>
      </w:pPr>
      <w:r>
        <w:rPr>
          <w:rFonts w:hint="eastAsia" w:ascii="宋体" w:hAnsi="宋体" w:eastAsia="宋体" w:cs="仿宋_GB2312"/>
          <w:kern w:val="0"/>
          <w:sz w:val="30"/>
          <w:szCs w:val="30"/>
        </w:rPr>
        <w:t>d.承诺资金及时到账；</w:t>
      </w:r>
    </w:p>
    <w:p>
      <w:pPr>
        <w:widowControl/>
        <w:tabs>
          <w:tab w:val="left" w:pos="720"/>
        </w:tabs>
        <w:overflowPunct w:val="0"/>
        <w:autoSpaceDE w:val="0"/>
        <w:autoSpaceDN w:val="0"/>
        <w:adjustRightInd w:val="0"/>
        <w:spacing w:line="360" w:lineRule="auto"/>
        <w:ind w:firstLine="600" w:firstLineChars="200"/>
        <w:textAlignment w:val="baseline"/>
        <w:rPr>
          <w:rFonts w:ascii="宋体" w:hAnsi="宋体" w:eastAsia="宋体" w:cs="仿宋_GB2312"/>
          <w:kern w:val="0"/>
          <w:sz w:val="30"/>
          <w:szCs w:val="30"/>
        </w:rPr>
      </w:pPr>
      <w:r>
        <w:rPr>
          <w:rFonts w:hint="eastAsia" w:ascii="宋体" w:hAnsi="宋体" w:eastAsia="宋体" w:cs="仿宋_GB2312"/>
          <w:kern w:val="0"/>
          <w:sz w:val="30"/>
          <w:szCs w:val="30"/>
        </w:rPr>
        <w:t>能够全部承诺提供以上服务得5分，少承诺一项扣2分，扣完为止。</w:t>
      </w:r>
    </w:p>
    <w:p>
      <w:pPr>
        <w:widowControl/>
        <w:overflowPunct w:val="0"/>
        <w:autoSpaceDE w:val="0"/>
        <w:autoSpaceDN w:val="0"/>
        <w:adjustRightInd w:val="0"/>
        <w:spacing w:line="360" w:lineRule="auto"/>
        <w:ind w:firstLine="602" w:firstLineChars="200"/>
        <w:textAlignment w:val="baseline"/>
      </w:pPr>
      <w:r>
        <w:rPr>
          <w:rFonts w:hint="eastAsia" w:ascii="宋体" w:hAnsi="宋体" w:eastAsia="宋体" w:cs="仿宋_GB2312"/>
          <w:b/>
          <w:bCs/>
          <w:kern w:val="0"/>
          <w:sz w:val="30"/>
          <w:szCs w:val="30"/>
        </w:rPr>
        <w:t>②</w:t>
      </w:r>
      <w:r>
        <w:rPr>
          <w:rFonts w:hint="eastAsia" w:ascii="宋体" w:hAnsi="宋体" w:eastAsia="宋体" w:cs="仿宋_GB2312"/>
          <w:b/>
          <w:kern w:val="0"/>
          <w:sz w:val="30"/>
          <w:szCs w:val="30"/>
        </w:rPr>
        <w:t>县域内一级网点布局指标，</w:t>
      </w:r>
      <w:r>
        <w:rPr>
          <w:rFonts w:hint="eastAsia" w:ascii="宋体" w:hAnsi="宋体" w:eastAsia="宋体" w:cs="仿宋_GB2312"/>
          <w:bCs/>
          <w:kern w:val="0"/>
          <w:sz w:val="30"/>
          <w:szCs w:val="30"/>
        </w:rPr>
        <w:t>分值5分，</w:t>
      </w:r>
      <w:r>
        <w:rPr>
          <w:rFonts w:hint="eastAsia" w:ascii="宋体" w:hAnsi="宋体" w:eastAsia="宋体" w:cs="仿宋_GB2312"/>
          <w:kern w:val="0"/>
          <w:sz w:val="30"/>
          <w:szCs w:val="30"/>
        </w:rPr>
        <w:t>竞标银行在县域范围内支行及以上网点数量，根据数量由多至少进行排列，按排名先后依次赋分，第一名得5分，依次递减0.5分,递减到0分为止。</w:t>
      </w:r>
    </w:p>
    <w:p>
      <w:pPr>
        <w:widowControl/>
        <w:overflowPunct w:val="0"/>
        <w:autoSpaceDE w:val="0"/>
        <w:autoSpaceDN w:val="0"/>
        <w:adjustRightInd w:val="0"/>
        <w:spacing w:line="360" w:lineRule="auto"/>
        <w:ind w:firstLine="590" w:firstLineChars="196"/>
        <w:textAlignment w:val="baseline"/>
        <w:rPr>
          <w:rFonts w:ascii="宋体" w:hAnsi="宋体" w:eastAsia="宋体" w:cs="仿宋_GB2312"/>
          <w:b/>
          <w:kern w:val="0"/>
          <w:sz w:val="30"/>
          <w:szCs w:val="30"/>
        </w:rPr>
      </w:pPr>
      <w:r>
        <w:rPr>
          <w:rFonts w:hint="eastAsia" w:ascii="宋体" w:hAnsi="宋体" w:eastAsia="宋体" w:cs="仿宋_GB2312"/>
          <w:b/>
          <w:kern w:val="0"/>
          <w:sz w:val="30"/>
          <w:szCs w:val="30"/>
        </w:rPr>
        <w:t>4、存款利率水平指标（30分）。</w:t>
      </w:r>
    </w:p>
    <w:p>
      <w:pPr>
        <w:widowControl/>
        <w:overflowPunct w:val="0"/>
        <w:autoSpaceDE w:val="0"/>
        <w:autoSpaceDN w:val="0"/>
        <w:adjustRightInd w:val="0"/>
        <w:spacing w:line="360" w:lineRule="auto"/>
        <w:ind w:firstLine="590" w:firstLineChars="196"/>
        <w:textAlignment w:val="baseline"/>
        <w:rPr>
          <w:rFonts w:ascii="宋体" w:hAnsi="宋体" w:eastAsia="宋体" w:cs="仿宋_GB2312"/>
          <w:kern w:val="0"/>
          <w:sz w:val="30"/>
          <w:szCs w:val="30"/>
        </w:rPr>
      </w:pPr>
      <w:r>
        <w:rPr>
          <w:rFonts w:hint="eastAsia" w:ascii="宋体" w:hAnsi="宋体" w:eastAsia="宋体" w:cs="仿宋_GB2312"/>
          <w:b/>
          <w:bCs/>
          <w:kern w:val="0"/>
          <w:sz w:val="30"/>
          <w:szCs w:val="30"/>
        </w:rPr>
        <w:t>①</w:t>
      </w:r>
      <w:r>
        <w:rPr>
          <w:rFonts w:hint="eastAsia" w:ascii="宋体" w:hAnsi="宋体" w:eastAsia="宋体" w:cs="仿宋_GB2312"/>
          <w:kern w:val="0"/>
          <w:sz w:val="30"/>
          <w:szCs w:val="30"/>
        </w:rPr>
        <w:t>一年定期存款利率水平指标（20分），由竞标银行自愿申报在国家利率政策规定范围内的1年期定期存款利率（含增加基点部分）为计分依据。其计分办法为：</w:t>
      </w:r>
    </w:p>
    <w:p>
      <w:pPr>
        <w:widowControl/>
        <w:overflowPunct w:val="0"/>
        <w:autoSpaceDE w:val="0"/>
        <w:autoSpaceDN w:val="0"/>
        <w:adjustRightInd w:val="0"/>
        <w:spacing w:line="360" w:lineRule="auto"/>
        <w:ind w:firstLine="600" w:firstLineChars="200"/>
        <w:textAlignment w:val="baseline"/>
        <w:rPr>
          <w:rFonts w:ascii="宋体" w:hAnsi="宋体" w:eastAsia="宋体" w:cs="仿宋_GB2312"/>
          <w:kern w:val="0"/>
          <w:sz w:val="30"/>
          <w:szCs w:val="30"/>
        </w:rPr>
      </w:pPr>
      <w:r>
        <w:rPr>
          <w:rFonts w:hint="eastAsia" w:ascii="宋体" w:hAnsi="宋体" w:eastAsia="宋体" w:cs="仿宋_GB2312"/>
          <w:kern w:val="0"/>
          <w:sz w:val="30"/>
          <w:szCs w:val="30"/>
        </w:rPr>
        <w:t>一年定期存款利率水平指标得分=[竞标银行申报的利率/利率最高的竞标银行利率]×20分。最高得分为20分。</w:t>
      </w:r>
    </w:p>
    <w:p>
      <w:pPr>
        <w:widowControl/>
        <w:overflowPunct w:val="0"/>
        <w:autoSpaceDE w:val="0"/>
        <w:autoSpaceDN w:val="0"/>
        <w:adjustRightInd w:val="0"/>
        <w:spacing w:line="360" w:lineRule="auto"/>
        <w:ind w:firstLine="590" w:firstLineChars="196"/>
        <w:textAlignment w:val="baseline"/>
        <w:rPr>
          <w:rFonts w:ascii="宋体" w:hAnsi="宋体" w:eastAsia="宋体" w:cs="仿宋_GB2312"/>
          <w:kern w:val="0"/>
          <w:sz w:val="30"/>
          <w:szCs w:val="30"/>
        </w:rPr>
      </w:pPr>
      <w:r>
        <w:rPr>
          <w:rFonts w:hint="eastAsia" w:ascii="宋体" w:hAnsi="宋体" w:eastAsia="宋体" w:cs="仿宋_GB2312"/>
          <w:b/>
          <w:bCs/>
          <w:kern w:val="0"/>
          <w:sz w:val="30"/>
          <w:szCs w:val="30"/>
        </w:rPr>
        <w:t>②</w:t>
      </w:r>
      <w:r>
        <w:rPr>
          <w:rFonts w:hint="eastAsia" w:ascii="宋体" w:hAnsi="宋体" w:eastAsia="宋体" w:cs="仿宋_GB2312"/>
          <w:bCs/>
          <w:kern w:val="0"/>
          <w:sz w:val="30"/>
          <w:szCs w:val="30"/>
        </w:rPr>
        <w:t>协定存款利率</w:t>
      </w:r>
      <w:r>
        <w:rPr>
          <w:rFonts w:hint="eastAsia" w:ascii="宋体" w:hAnsi="宋体" w:eastAsia="宋体" w:cs="仿宋_GB2312"/>
          <w:kern w:val="0"/>
          <w:sz w:val="30"/>
          <w:szCs w:val="30"/>
        </w:rPr>
        <w:t>水平指标（10分），由竞标银行自愿申报在国家利率政策规定范围内的</w:t>
      </w:r>
      <w:r>
        <w:rPr>
          <w:rFonts w:hint="eastAsia" w:ascii="宋体" w:hAnsi="宋体" w:eastAsia="宋体" w:cs="仿宋_GB2312"/>
          <w:bCs/>
          <w:kern w:val="0"/>
          <w:sz w:val="30"/>
          <w:szCs w:val="30"/>
        </w:rPr>
        <w:t>协定存款利率</w:t>
      </w:r>
      <w:r>
        <w:rPr>
          <w:rFonts w:hint="eastAsia" w:ascii="宋体" w:hAnsi="宋体" w:eastAsia="宋体" w:cs="仿宋_GB2312"/>
          <w:kern w:val="0"/>
          <w:sz w:val="30"/>
          <w:szCs w:val="30"/>
        </w:rPr>
        <w:t>（含增加基点部分）为计分依据。其计分办法为：</w:t>
      </w:r>
    </w:p>
    <w:p>
      <w:pPr>
        <w:widowControl/>
        <w:overflowPunct w:val="0"/>
        <w:autoSpaceDE w:val="0"/>
        <w:autoSpaceDN w:val="0"/>
        <w:adjustRightInd w:val="0"/>
        <w:spacing w:line="360" w:lineRule="auto"/>
        <w:ind w:firstLine="600" w:firstLineChars="200"/>
        <w:textAlignment w:val="baseline"/>
        <w:rPr>
          <w:rFonts w:ascii="宋体" w:hAnsi="宋体" w:eastAsia="宋体" w:cs="仿宋_GB2312"/>
          <w:kern w:val="0"/>
          <w:sz w:val="30"/>
          <w:szCs w:val="30"/>
        </w:rPr>
      </w:pPr>
      <w:r>
        <w:rPr>
          <w:rFonts w:hint="eastAsia" w:ascii="宋体" w:hAnsi="宋体" w:eastAsia="宋体" w:cs="仿宋_GB2312"/>
          <w:kern w:val="0"/>
          <w:sz w:val="30"/>
          <w:szCs w:val="30"/>
        </w:rPr>
        <w:t>协定存款利率水平指标得分=[竞标银行申报的利率/利率最高的竞标银行利率]×10分。最高得分为10分。</w:t>
      </w:r>
    </w:p>
    <w:p>
      <w:pPr>
        <w:pStyle w:val="2"/>
        <w:ind w:firstLine="301"/>
        <w:rPr>
          <w:rFonts w:ascii="宋体" w:hAnsi="宋体" w:eastAsia="宋体" w:cs="仿宋_GB2312"/>
          <w:kern w:val="0"/>
          <w:sz w:val="30"/>
          <w:szCs w:val="30"/>
        </w:rPr>
      </w:pPr>
      <w:r>
        <w:rPr>
          <w:rFonts w:hint="eastAsia" w:ascii="宋体" w:hAnsi="宋体" w:eastAsia="宋体" w:cs="仿宋_GB2312"/>
          <w:b/>
          <w:kern w:val="0"/>
          <w:sz w:val="30"/>
          <w:szCs w:val="30"/>
        </w:rPr>
        <w:t>存款利率水平指标得分=</w:t>
      </w:r>
      <w:r>
        <w:rPr>
          <w:rFonts w:hint="eastAsia" w:ascii="宋体" w:hAnsi="宋体" w:eastAsia="宋体" w:cs="仿宋_GB2312"/>
          <w:kern w:val="0"/>
          <w:sz w:val="30"/>
          <w:szCs w:val="30"/>
        </w:rPr>
        <w:t>一年定期存款利率水平指标得分+协定存款利率水平指标得分。</w:t>
      </w:r>
    </w:p>
    <w:p>
      <w:pPr>
        <w:widowControl/>
        <w:overflowPunct w:val="0"/>
        <w:autoSpaceDE w:val="0"/>
        <w:autoSpaceDN w:val="0"/>
        <w:adjustRightInd w:val="0"/>
        <w:spacing w:line="360" w:lineRule="auto"/>
        <w:ind w:firstLine="602" w:firstLineChars="200"/>
        <w:textAlignment w:val="baseline"/>
        <w:rPr>
          <w:rFonts w:ascii="宋体" w:hAnsi="宋体" w:eastAsia="宋体" w:cs="仿宋_GB2312"/>
          <w:kern w:val="0"/>
          <w:sz w:val="30"/>
          <w:szCs w:val="30"/>
        </w:rPr>
      </w:pPr>
      <w:r>
        <w:rPr>
          <w:rFonts w:hint="eastAsia" w:ascii="宋体" w:hAnsi="宋体" w:eastAsia="宋体" w:cs="仿宋_GB2312"/>
          <w:b/>
          <w:kern w:val="0"/>
          <w:sz w:val="30"/>
          <w:szCs w:val="30"/>
        </w:rPr>
        <w:t>5、竞标银行综合评分得分</w:t>
      </w:r>
      <w:r>
        <w:rPr>
          <w:rFonts w:hint="eastAsia" w:ascii="宋体" w:hAnsi="宋体" w:eastAsia="宋体" w:cs="仿宋_GB2312"/>
          <w:kern w:val="0"/>
          <w:sz w:val="30"/>
          <w:szCs w:val="30"/>
        </w:rPr>
        <w:t>=经济贡献指标得分+经营状况指标得分+服务水平指标+存款利率水平指标得分。</w:t>
      </w:r>
    </w:p>
    <w:p>
      <w:pPr>
        <w:widowControl/>
        <w:overflowPunct w:val="0"/>
        <w:autoSpaceDE w:val="0"/>
        <w:autoSpaceDN w:val="0"/>
        <w:adjustRightInd w:val="0"/>
        <w:spacing w:line="360" w:lineRule="auto"/>
        <w:ind w:firstLine="602" w:firstLineChars="200"/>
        <w:textAlignment w:val="baseline"/>
        <w:rPr>
          <w:rFonts w:ascii="宋体" w:hAnsi="宋体" w:eastAsia="宋体" w:cs="仿宋_GB2312"/>
          <w:b/>
          <w:kern w:val="0"/>
          <w:sz w:val="30"/>
          <w:szCs w:val="30"/>
        </w:rPr>
      </w:pPr>
      <w:r>
        <w:rPr>
          <w:rFonts w:hint="eastAsia" w:ascii="宋体" w:hAnsi="宋体" w:eastAsia="宋体" w:cs="仿宋_GB2312"/>
          <w:b/>
          <w:bCs/>
          <w:kern w:val="0"/>
          <w:sz w:val="30"/>
          <w:szCs w:val="30"/>
        </w:rPr>
        <w:t>（四）</w:t>
      </w:r>
      <w:r>
        <w:rPr>
          <w:rFonts w:hint="eastAsia" w:ascii="宋体" w:hAnsi="宋体" w:eastAsia="宋体" w:cs="仿宋_GB2312"/>
          <w:b/>
          <w:kern w:val="0"/>
          <w:sz w:val="30"/>
          <w:szCs w:val="30"/>
        </w:rPr>
        <w:t>竞标银行</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ascii="宋体" w:hAnsi="宋体" w:eastAsia="宋体" w:cs="Times New Roman"/>
          <w:kern w:val="0"/>
          <w:sz w:val="30"/>
          <w:szCs w:val="30"/>
        </w:rPr>
        <w:t>1、在永嘉县人民检察院所在同城设有分支机构，且法律、法规没有限制的国有商业银行、股份制商业银行、邮政储蓄银行、城市商业银行、农村商业银行、农村合作银行、村镇银行、农村信用社及政策性银行。</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ascii="宋体" w:hAnsi="宋体" w:eastAsia="宋体" w:cs="Times New Roman"/>
          <w:kern w:val="0"/>
          <w:sz w:val="30"/>
          <w:szCs w:val="30"/>
        </w:rPr>
        <w:t>2、依法开展经营活动，内部管理机制健全，具有较强的风险控制能力，近3年内在经营活动中无重大违法违规记录、未发生金融风险及重大违约事件。</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ascii="宋体" w:hAnsi="宋体" w:eastAsia="宋体" w:cs="Times New Roman"/>
          <w:kern w:val="0"/>
          <w:sz w:val="30"/>
          <w:szCs w:val="30"/>
        </w:rPr>
        <w:t>3、纳入监管评级的银行，人民银行上年度综合评价应达到B级及以上。</w:t>
      </w:r>
    </w:p>
    <w:p>
      <w:pPr>
        <w:widowControl/>
        <w:overflowPunct w:val="0"/>
        <w:autoSpaceDE w:val="0"/>
        <w:autoSpaceDN w:val="0"/>
        <w:adjustRightInd w:val="0"/>
        <w:spacing w:line="360" w:lineRule="auto"/>
        <w:ind w:firstLine="600" w:firstLineChars="200"/>
        <w:textAlignment w:val="baseline"/>
        <w:rPr>
          <w:rFonts w:ascii="宋体" w:hAnsi="宋体" w:eastAsia="宋体" w:cs="Times New Roman"/>
          <w:kern w:val="0"/>
          <w:sz w:val="30"/>
          <w:szCs w:val="30"/>
        </w:rPr>
      </w:pPr>
      <w:r>
        <w:rPr>
          <w:rFonts w:ascii="宋体" w:hAnsi="宋体" w:eastAsia="宋体" w:cs="Times New Roman"/>
          <w:kern w:val="0"/>
          <w:sz w:val="30"/>
          <w:szCs w:val="30"/>
        </w:rPr>
        <w:t>4、本次招标每家银行有且只能有一个主体参与投标。</w:t>
      </w:r>
    </w:p>
    <w:p>
      <w:pPr>
        <w:widowControl/>
        <w:overflowPunct w:val="0"/>
        <w:autoSpaceDE w:val="0"/>
        <w:autoSpaceDN w:val="0"/>
        <w:adjustRightInd w:val="0"/>
        <w:spacing w:line="360" w:lineRule="auto"/>
        <w:ind w:firstLine="600" w:firstLineChars="200"/>
        <w:textAlignment w:val="baseline"/>
        <w:rPr>
          <w:rFonts w:ascii="宋体" w:hAnsi="宋体" w:eastAsia="宋体" w:cs="仿宋_GB2312"/>
          <w:kern w:val="0"/>
          <w:sz w:val="30"/>
          <w:szCs w:val="30"/>
        </w:rPr>
      </w:pPr>
      <w:r>
        <w:rPr>
          <w:rFonts w:ascii="宋体" w:hAnsi="宋体" w:eastAsia="宋体" w:cs="Times New Roman"/>
          <w:kern w:val="0"/>
          <w:sz w:val="30"/>
          <w:szCs w:val="30"/>
        </w:rPr>
        <w:t>5、本项目谢绝联合体投标。</w:t>
      </w:r>
    </w:p>
    <w:p>
      <w:pPr>
        <w:widowControl/>
        <w:overflowPunct w:val="0"/>
        <w:autoSpaceDE w:val="0"/>
        <w:autoSpaceDN w:val="0"/>
        <w:adjustRightInd w:val="0"/>
        <w:spacing w:line="360" w:lineRule="auto"/>
        <w:ind w:firstLine="602" w:firstLineChars="200"/>
        <w:textAlignment w:val="baseline"/>
        <w:rPr>
          <w:rFonts w:ascii="宋体" w:hAnsi="宋体" w:eastAsia="宋体" w:cs="仿宋_GB2312"/>
          <w:b/>
          <w:bCs/>
          <w:kern w:val="0"/>
          <w:sz w:val="30"/>
          <w:szCs w:val="30"/>
        </w:rPr>
      </w:pPr>
      <w:r>
        <w:rPr>
          <w:rFonts w:hint="eastAsia" w:ascii="宋体" w:hAnsi="宋体" w:eastAsia="宋体" w:cs="仿宋_GB2312"/>
          <w:b/>
          <w:bCs/>
          <w:kern w:val="0"/>
          <w:sz w:val="30"/>
          <w:szCs w:val="30"/>
        </w:rPr>
        <w:t>（五）竞争中标原则：</w:t>
      </w:r>
    </w:p>
    <w:p>
      <w:pPr>
        <w:widowControl/>
        <w:numPr>
          <w:ilvl w:val="0"/>
          <w:numId w:val="1"/>
        </w:numPr>
        <w:overflowPunct w:val="0"/>
        <w:autoSpaceDE w:val="0"/>
        <w:autoSpaceDN w:val="0"/>
        <w:adjustRightInd w:val="0"/>
        <w:spacing w:line="360" w:lineRule="auto"/>
        <w:ind w:firstLine="600" w:firstLineChars="200"/>
        <w:textAlignment w:val="baseline"/>
        <w:rPr>
          <w:rFonts w:ascii="宋体" w:hAnsi="宋体" w:eastAsia="宋体" w:cs="仿宋_GB2312"/>
          <w:kern w:val="0"/>
          <w:sz w:val="30"/>
          <w:szCs w:val="30"/>
        </w:rPr>
      </w:pPr>
      <w:r>
        <w:rPr>
          <w:rFonts w:hint="eastAsia" w:ascii="宋体" w:hAnsi="宋体" w:eastAsia="宋体" w:cs="仿宋_GB2312"/>
          <w:kern w:val="0"/>
          <w:sz w:val="30"/>
          <w:szCs w:val="30"/>
        </w:rPr>
        <w:t>采取综合评分法，按照综合得分最高分银行中标。</w:t>
      </w:r>
    </w:p>
    <w:p>
      <w:pPr>
        <w:widowControl/>
        <w:numPr>
          <w:ilvl w:val="0"/>
          <w:numId w:val="1"/>
        </w:numPr>
        <w:overflowPunct w:val="0"/>
        <w:autoSpaceDE w:val="0"/>
        <w:autoSpaceDN w:val="0"/>
        <w:adjustRightInd w:val="0"/>
        <w:spacing w:line="360" w:lineRule="auto"/>
        <w:ind w:firstLine="600" w:firstLineChars="200"/>
        <w:textAlignment w:val="baseline"/>
        <w:rPr>
          <w:rFonts w:ascii="宋体" w:hAnsi="宋体" w:eastAsia="宋体" w:cs="仿宋_GB2312"/>
          <w:kern w:val="0"/>
          <w:sz w:val="30"/>
          <w:szCs w:val="30"/>
        </w:rPr>
      </w:pPr>
      <w:r>
        <w:rPr>
          <w:rFonts w:hint="eastAsia" w:ascii="宋体" w:hAnsi="宋体" w:eastAsia="宋体" w:cs="仿宋_GB2312"/>
          <w:kern w:val="0"/>
          <w:sz w:val="30"/>
          <w:szCs w:val="30"/>
        </w:rPr>
        <w:t>参加投标的银行少于3家做流标处理，需要进行第二次投标。若第二次投标仍少于3家，则通过集体决策决定。</w:t>
      </w:r>
    </w:p>
    <w:p>
      <w:pPr>
        <w:widowControl/>
        <w:overflowPunct w:val="0"/>
        <w:autoSpaceDE w:val="0"/>
        <w:autoSpaceDN w:val="0"/>
        <w:adjustRightInd w:val="0"/>
        <w:spacing w:line="360" w:lineRule="auto"/>
        <w:ind w:firstLine="660"/>
        <w:textAlignment w:val="baseline"/>
        <w:rPr>
          <w:rFonts w:ascii="宋体" w:hAnsi="宋体" w:eastAsia="宋体" w:cs="仿宋_GB2312"/>
          <w:b/>
          <w:kern w:val="0"/>
          <w:sz w:val="30"/>
          <w:szCs w:val="30"/>
        </w:rPr>
      </w:pPr>
      <w:r>
        <w:rPr>
          <w:rFonts w:hint="eastAsia" w:ascii="宋体" w:hAnsi="宋体" w:eastAsia="宋体" w:cs="仿宋_GB2312"/>
          <w:b/>
          <w:kern w:val="0"/>
          <w:sz w:val="30"/>
          <w:szCs w:val="30"/>
        </w:rPr>
        <w:t>四、其他</w:t>
      </w:r>
    </w:p>
    <w:p>
      <w:pPr>
        <w:widowControl/>
        <w:tabs>
          <w:tab w:val="left" w:pos="720"/>
        </w:tabs>
        <w:overflowPunct w:val="0"/>
        <w:autoSpaceDE w:val="0"/>
        <w:autoSpaceDN w:val="0"/>
        <w:adjustRightInd w:val="0"/>
        <w:spacing w:line="360" w:lineRule="auto"/>
        <w:textAlignment w:val="baseline"/>
        <w:rPr>
          <w:rFonts w:ascii="宋体" w:hAnsi="宋体" w:eastAsia="宋体" w:cs="仿宋_GB2312"/>
          <w:kern w:val="0"/>
          <w:sz w:val="30"/>
          <w:szCs w:val="30"/>
        </w:rPr>
      </w:pPr>
      <w:r>
        <w:rPr>
          <w:rFonts w:hint="eastAsia" w:ascii="宋体" w:hAnsi="宋体" w:eastAsia="宋体" w:cs="仿宋_GB2312"/>
          <w:kern w:val="0"/>
          <w:sz w:val="30"/>
          <w:szCs w:val="30"/>
        </w:rPr>
        <w:t xml:space="preserve">    （一）</w:t>
      </w:r>
      <w:r>
        <w:rPr>
          <w:rFonts w:hint="eastAsia" w:ascii="宋体" w:hAnsi="宋体" w:eastAsia="宋体" w:cs="Times New Roman"/>
          <w:kern w:val="0"/>
          <w:sz w:val="30"/>
          <w:szCs w:val="30"/>
        </w:rPr>
        <w:t>本项目招标代理费为人民币捌仟元整，中标人在领取中标通知书前根据存款金额按标准比例计算并支付招标代理服务费。</w:t>
      </w:r>
    </w:p>
    <w:p>
      <w:pPr>
        <w:widowControl/>
        <w:tabs>
          <w:tab w:val="left" w:pos="720"/>
        </w:tabs>
        <w:overflowPunct w:val="0"/>
        <w:autoSpaceDE w:val="0"/>
        <w:autoSpaceDN w:val="0"/>
        <w:adjustRightInd w:val="0"/>
        <w:spacing w:line="360" w:lineRule="auto"/>
        <w:ind w:firstLine="600" w:firstLineChars="200"/>
        <w:textAlignment w:val="baseline"/>
        <w:rPr>
          <w:rFonts w:ascii="宋体" w:hAnsi="宋体" w:eastAsia="宋体" w:cs="仿宋_GB2312"/>
          <w:kern w:val="0"/>
          <w:sz w:val="30"/>
          <w:szCs w:val="30"/>
        </w:rPr>
      </w:pPr>
      <w:r>
        <w:rPr>
          <w:rFonts w:hint="eastAsia" w:ascii="宋体" w:hAnsi="宋体" w:eastAsia="宋体" w:cs="仿宋_GB2312"/>
          <w:kern w:val="0"/>
          <w:sz w:val="30"/>
          <w:szCs w:val="30"/>
        </w:rPr>
        <w:t>（二）未尽</w:t>
      </w:r>
      <w:r>
        <w:rPr>
          <w:rFonts w:hint="eastAsia" w:ascii="宋体" w:hAnsi="宋体" w:eastAsia="宋体" w:cs="Times New Roman"/>
          <w:kern w:val="0"/>
          <w:sz w:val="30"/>
          <w:szCs w:val="30"/>
        </w:rPr>
        <w:t>事宜</w:t>
      </w:r>
      <w:r>
        <w:rPr>
          <w:rFonts w:hint="eastAsia" w:ascii="宋体" w:hAnsi="宋体" w:eastAsia="宋体" w:cs="仿宋_GB2312"/>
          <w:kern w:val="0"/>
          <w:sz w:val="30"/>
          <w:szCs w:val="30"/>
        </w:rPr>
        <w:t>均按《浙江省省级行政事业单位公款竞争性存放管理》（浙财预执〔2021〕7号）、</w:t>
      </w:r>
      <w:r>
        <w:rPr>
          <w:rFonts w:hint="eastAsia" w:ascii="宋体" w:hAnsi="宋体" w:eastAsia="宋体" w:cs="宋体"/>
          <w:kern w:val="0"/>
          <w:sz w:val="30"/>
          <w:szCs w:val="30"/>
        </w:rPr>
        <w:t>《永嘉县财政局关于印发永嘉县县级行政事业单位公款竞争性存放管理办法的通知》（永财预执〔2022〕203号）</w:t>
      </w:r>
      <w:r>
        <w:rPr>
          <w:rFonts w:hint="eastAsia" w:ascii="宋体" w:hAnsi="宋体" w:eastAsia="宋体" w:cs="仿宋_GB2312"/>
          <w:kern w:val="0"/>
          <w:sz w:val="30"/>
          <w:szCs w:val="30"/>
        </w:rPr>
        <w:t>的规定执行。</w:t>
      </w:r>
    </w:p>
    <w:p>
      <w:pPr>
        <w:widowControl/>
        <w:overflowPunct w:val="0"/>
        <w:autoSpaceDE w:val="0"/>
        <w:autoSpaceDN w:val="0"/>
        <w:adjustRightInd w:val="0"/>
        <w:textAlignment w:val="baseline"/>
        <w:rPr>
          <w:rFonts w:ascii="宋体" w:hAnsi="宋体" w:eastAsia="宋体" w:cs="Times New Roman"/>
          <w:b/>
          <w:kern w:val="0"/>
          <w:sz w:val="30"/>
          <w:szCs w:val="30"/>
        </w:rPr>
      </w:pPr>
    </w:p>
    <w:p>
      <w:pPr>
        <w:spacing w:line="360" w:lineRule="auto"/>
        <w:jc w:val="center"/>
        <w:outlineLvl w:val="0"/>
        <w:rPr>
          <w:rFonts w:ascii="宋体" w:hAnsi="宋体" w:eastAsia="宋体" w:cs="新宋体"/>
          <w:kern w:val="44"/>
          <w:sz w:val="30"/>
          <w:szCs w:val="30"/>
        </w:rPr>
      </w:pPr>
      <w:r>
        <w:rPr>
          <w:rFonts w:hint="eastAsia" w:ascii="宋体" w:hAnsi="宋体" w:eastAsia="宋体" w:cs="新宋体"/>
          <w:b/>
          <w:bCs/>
          <w:kern w:val="44"/>
          <w:sz w:val="30"/>
          <w:szCs w:val="30"/>
        </w:rPr>
        <w:br w:type="page"/>
      </w:r>
      <w:bookmarkStart w:id="4" w:name="_Toc22802"/>
      <w:r>
        <w:rPr>
          <w:rFonts w:hint="eastAsia" w:ascii="宋体" w:hAnsi="宋体" w:eastAsia="宋体" w:cs="新宋体"/>
          <w:b/>
          <w:bCs/>
          <w:kern w:val="44"/>
          <w:sz w:val="30"/>
          <w:szCs w:val="30"/>
        </w:rPr>
        <w:t>第二部分  永嘉县人民检察院涉案暂扣款专户竞争性开户商业银行定期存款协议书</w:t>
      </w:r>
      <w:bookmarkEnd w:id="4"/>
    </w:p>
    <w:p>
      <w:pPr>
        <w:widowControl/>
        <w:shd w:val="clear" w:color="auto" w:fill="FFFFFF"/>
        <w:spacing w:line="475" w:lineRule="atLeast"/>
        <w:ind w:right="27"/>
        <w:jc w:val="center"/>
        <w:rPr>
          <w:rFonts w:ascii="宋体" w:hAnsi="宋体" w:eastAsia="宋体" w:cs="宋体"/>
          <w:kern w:val="0"/>
          <w:sz w:val="30"/>
          <w:szCs w:val="30"/>
        </w:rPr>
      </w:pPr>
      <w:r>
        <w:rPr>
          <w:rFonts w:hint="eastAsia" w:ascii="宋体" w:hAnsi="宋体" w:eastAsia="宋体" w:cs="宋体"/>
          <w:kern w:val="0"/>
          <w:sz w:val="30"/>
          <w:szCs w:val="30"/>
        </w:rPr>
        <w:t>（仅供参考，以实际签订的协议为准）</w:t>
      </w:r>
    </w:p>
    <w:p>
      <w:pPr>
        <w:widowControl/>
        <w:shd w:val="clear" w:color="auto" w:fill="FFFFFF"/>
        <w:jc w:val="center"/>
        <w:rPr>
          <w:rFonts w:ascii="宋体" w:hAnsi="宋体" w:eastAsia="宋体" w:cs="宋体"/>
          <w:b/>
          <w:bCs/>
          <w:kern w:val="0"/>
          <w:sz w:val="30"/>
          <w:szCs w:val="30"/>
        </w:rPr>
      </w:pPr>
      <w:r>
        <w:rPr>
          <w:rFonts w:hint="eastAsia" w:ascii="宋体" w:hAnsi="宋体" w:eastAsia="宋体" w:cs="宋体"/>
          <w:b/>
          <w:bCs/>
          <w:kern w:val="0"/>
          <w:sz w:val="30"/>
          <w:szCs w:val="30"/>
        </w:rPr>
        <w:t> 合同编号：</w:t>
      </w:r>
    </w:p>
    <w:p>
      <w:pPr>
        <w:widowControl/>
        <w:shd w:val="clear" w:color="auto" w:fill="FFFFFF"/>
        <w:spacing w:line="285" w:lineRule="atLeast"/>
        <w:ind w:left="761"/>
        <w:jc w:val="left"/>
        <w:rPr>
          <w:rFonts w:ascii="宋体" w:hAnsi="宋体" w:eastAsia="宋体" w:cs="宋体"/>
          <w:kern w:val="0"/>
          <w:sz w:val="30"/>
          <w:szCs w:val="30"/>
        </w:rPr>
      </w:pPr>
    </w:p>
    <w:p>
      <w:pPr>
        <w:widowControl/>
        <w:shd w:val="clear" w:color="auto" w:fill="FFFFFF"/>
        <w:spacing w:line="475" w:lineRule="atLeast"/>
        <w:ind w:right="27"/>
        <w:jc w:val="left"/>
        <w:rPr>
          <w:rFonts w:ascii="宋体" w:hAnsi="宋体" w:eastAsia="宋体" w:cs="宋体"/>
          <w:kern w:val="0"/>
          <w:sz w:val="30"/>
          <w:szCs w:val="30"/>
        </w:rPr>
      </w:pPr>
      <w:r>
        <w:rPr>
          <w:rFonts w:hint="eastAsia" w:ascii="宋体" w:hAnsi="宋体" w:eastAsia="宋体" w:cs="宋体"/>
          <w:kern w:val="0"/>
          <w:sz w:val="30"/>
          <w:szCs w:val="30"/>
        </w:rPr>
        <w:t>甲方：永嘉县人民检察院</w:t>
      </w:r>
    </w:p>
    <w:p>
      <w:pPr>
        <w:widowControl/>
        <w:shd w:val="clear" w:color="auto" w:fill="FFFFFF"/>
        <w:spacing w:after="204" w:line="475" w:lineRule="atLeast"/>
        <w:ind w:right="27"/>
        <w:jc w:val="left"/>
        <w:rPr>
          <w:rFonts w:ascii="宋体" w:hAnsi="宋体" w:eastAsia="宋体" w:cs="宋体"/>
          <w:kern w:val="0"/>
          <w:sz w:val="30"/>
          <w:szCs w:val="30"/>
        </w:rPr>
      </w:pPr>
      <w:r>
        <w:rPr>
          <w:rFonts w:hint="eastAsia" w:ascii="宋体" w:hAnsi="宋体" w:eastAsia="宋体" w:cs="宋体"/>
          <w:kern w:val="0"/>
          <w:sz w:val="30"/>
          <w:szCs w:val="30"/>
        </w:rPr>
        <w:t xml:space="preserve">地址： </w:t>
      </w:r>
    </w:p>
    <w:p>
      <w:pPr>
        <w:ind w:firstLine="600" w:firstLineChars="200"/>
        <w:rPr>
          <w:rFonts w:ascii="宋体" w:hAnsi="宋体" w:eastAsia="宋体" w:cs="宋体"/>
          <w:kern w:val="0"/>
          <w:sz w:val="30"/>
          <w:szCs w:val="30"/>
        </w:rPr>
      </w:pPr>
      <w:r>
        <w:rPr>
          <w:rFonts w:hint="eastAsia" w:ascii="宋体" w:hAnsi="宋体" w:eastAsia="宋体" w:cs="宋体"/>
          <w:kern w:val="0"/>
          <w:sz w:val="30"/>
          <w:szCs w:val="30"/>
        </w:rPr>
        <w:t>甲、乙双方根据</w:t>
      </w:r>
      <w:r>
        <w:rPr>
          <w:rFonts w:hint="eastAsia" w:ascii="宋体" w:hAnsi="宋体" w:eastAsia="宋体" w:cs="宋体"/>
          <w:kern w:val="0"/>
          <w:sz w:val="30"/>
          <w:szCs w:val="30"/>
          <w:u w:val="single"/>
        </w:rPr>
        <w:t xml:space="preserve">                     项目（项目编号：         ）</w:t>
      </w:r>
      <w:r>
        <w:rPr>
          <w:rFonts w:hint="eastAsia" w:ascii="宋体" w:hAnsi="宋体" w:eastAsia="宋体" w:cs="宋体"/>
          <w:kern w:val="0"/>
          <w:sz w:val="30"/>
          <w:szCs w:val="30"/>
        </w:rPr>
        <w:t>的招标结果和《永嘉县财政局关于印发永嘉县县级行政事业单位公款竞争性存放管理办法的通知》（永财预执〔2022〕203号）等公款存放相关规定，签署本合同。</w:t>
      </w:r>
    </w:p>
    <w:p>
      <w:pPr>
        <w:ind w:firstLine="602" w:firstLineChars="200"/>
        <w:rPr>
          <w:rFonts w:ascii="宋体" w:hAnsi="宋体" w:eastAsia="宋体" w:cs="宋体"/>
          <w:b/>
          <w:kern w:val="0"/>
          <w:sz w:val="30"/>
          <w:szCs w:val="30"/>
        </w:rPr>
      </w:pPr>
      <w:r>
        <w:rPr>
          <w:rFonts w:hint="eastAsia" w:ascii="宋体" w:hAnsi="宋体" w:eastAsia="宋体" w:cs="宋体"/>
          <w:b/>
          <w:kern w:val="0"/>
          <w:sz w:val="30"/>
          <w:szCs w:val="30"/>
        </w:rPr>
        <w:t>一、服务内容：</w:t>
      </w:r>
      <w:r>
        <w:rPr>
          <w:rFonts w:hint="eastAsia" w:ascii="宋体" w:hAnsi="宋体" w:eastAsia="宋体" w:cs="宋体"/>
          <w:kern w:val="0"/>
          <w:sz w:val="30"/>
          <w:szCs w:val="30"/>
        </w:rPr>
        <w:t>甲方在乙方开立账户，协定存款利率</w:t>
      </w:r>
      <w:r>
        <w:rPr>
          <w:rFonts w:hint="eastAsia" w:ascii="宋体" w:hAnsi="宋体" w:eastAsia="宋体" w:cs="宋体"/>
          <w:kern w:val="0"/>
          <w:sz w:val="30"/>
          <w:szCs w:val="30"/>
          <w:u w:val="single"/>
        </w:rPr>
        <w:t>     </w:t>
      </w:r>
      <w:r>
        <w:rPr>
          <w:rFonts w:hint="eastAsia" w:ascii="宋体" w:hAnsi="宋体" w:eastAsia="宋体" w:cs="宋体"/>
          <w:kern w:val="0"/>
          <w:sz w:val="30"/>
          <w:szCs w:val="30"/>
        </w:rPr>
        <w:t>%，一年定期存款利率</w:t>
      </w:r>
      <w:r>
        <w:rPr>
          <w:rFonts w:hint="eastAsia" w:ascii="宋体" w:hAnsi="宋体" w:eastAsia="宋体" w:cs="宋体"/>
          <w:kern w:val="0"/>
          <w:sz w:val="30"/>
          <w:szCs w:val="30"/>
          <w:u w:val="single"/>
        </w:rPr>
        <w:t>     </w:t>
      </w:r>
      <w:r>
        <w:rPr>
          <w:rFonts w:hint="eastAsia" w:ascii="宋体" w:hAnsi="宋体" w:eastAsia="宋体" w:cs="宋体"/>
          <w:kern w:val="0"/>
          <w:sz w:val="30"/>
          <w:szCs w:val="30"/>
        </w:rPr>
        <w:t>%。协议履行期为：20</w:t>
      </w:r>
      <w:r>
        <w:rPr>
          <w:rFonts w:hint="eastAsia" w:ascii="宋体" w:hAnsi="宋体" w:eastAsia="宋体" w:cs="宋体"/>
          <w:kern w:val="0"/>
          <w:sz w:val="30"/>
          <w:szCs w:val="30"/>
          <w:u w:val="single"/>
        </w:rPr>
        <w:t xml:space="preserve">   </w:t>
      </w:r>
      <w:r>
        <w:rPr>
          <w:rFonts w:hint="eastAsia" w:ascii="宋体" w:hAnsi="宋体" w:eastAsia="宋体" w:cs="宋体"/>
          <w:kern w:val="0"/>
          <w:sz w:val="30"/>
          <w:szCs w:val="30"/>
        </w:rPr>
        <w:t>年</w:t>
      </w:r>
      <w:r>
        <w:rPr>
          <w:rFonts w:hint="eastAsia" w:ascii="宋体" w:hAnsi="宋体" w:eastAsia="宋体" w:cs="宋体"/>
          <w:kern w:val="0"/>
          <w:sz w:val="30"/>
          <w:szCs w:val="30"/>
          <w:u w:val="single"/>
        </w:rPr>
        <w:t xml:space="preserve">  </w:t>
      </w:r>
      <w:r>
        <w:rPr>
          <w:rFonts w:hint="eastAsia" w:ascii="宋体" w:hAnsi="宋体" w:eastAsia="宋体" w:cs="宋体"/>
          <w:kern w:val="0"/>
          <w:sz w:val="30"/>
          <w:szCs w:val="30"/>
        </w:rPr>
        <w:t>月</w:t>
      </w:r>
      <w:r>
        <w:rPr>
          <w:rFonts w:hint="eastAsia" w:ascii="宋体" w:hAnsi="宋体" w:eastAsia="宋体" w:cs="宋体"/>
          <w:kern w:val="0"/>
          <w:sz w:val="30"/>
          <w:szCs w:val="30"/>
          <w:u w:val="single"/>
        </w:rPr>
        <w:t xml:space="preserve">  </w:t>
      </w:r>
      <w:r>
        <w:rPr>
          <w:rFonts w:hint="eastAsia" w:ascii="宋体" w:hAnsi="宋体" w:eastAsia="宋体" w:cs="宋体"/>
          <w:kern w:val="0"/>
          <w:sz w:val="30"/>
          <w:szCs w:val="30"/>
        </w:rPr>
        <w:t>日---20</w:t>
      </w:r>
      <w:r>
        <w:rPr>
          <w:rFonts w:hint="eastAsia" w:ascii="宋体" w:hAnsi="宋体" w:eastAsia="宋体" w:cs="宋体"/>
          <w:kern w:val="0"/>
          <w:sz w:val="30"/>
          <w:szCs w:val="30"/>
          <w:u w:val="single"/>
        </w:rPr>
        <w:t xml:space="preserve">   </w:t>
      </w:r>
      <w:r>
        <w:rPr>
          <w:rFonts w:hint="eastAsia" w:ascii="宋体" w:hAnsi="宋体" w:eastAsia="宋体" w:cs="宋体"/>
          <w:kern w:val="0"/>
          <w:sz w:val="30"/>
          <w:szCs w:val="30"/>
        </w:rPr>
        <w:t>年</w:t>
      </w:r>
      <w:r>
        <w:rPr>
          <w:rFonts w:hint="eastAsia" w:ascii="宋体" w:hAnsi="宋体" w:eastAsia="宋体" w:cs="宋体"/>
          <w:kern w:val="0"/>
          <w:sz w:val="30"/>
          <w:szCs w:val="30"/>
          <w:u w:val="single"/>
        </w:rPr>
        <w:t xml:space="preserve">  </w:t>
      </w:r>
      <w:r>
        <w:rPr>
          <w:rFonts w:hint="eastAsia" w:ascii="宋体" w:hAnsi="宋体" w:eastAsia="宋体" w:cs="宋体"/>
          <w:kern w:val="0"/>
          <w:sz w:val="30"/>
          <w:szCs w:val="30"/>
        </w:rPr>
        <w:t>月</w:t>
      </w:r>
      <w:r>
        <w:rPr>
          <w:rFonts w:hint="eastAsia" w:ascii="宋体" w:hAnsi="宋体" w:eastAsia="宋体" w:cs="宋体"/>
          <w:kern w:val="0"/>
          <w:sz w:val="30"/>
          <w:szCs w:val="30"/>
          <w:u w:val="single"/>
        </w:rPr>
        <w:t xml:space="preserve">  </w:t>
      </w:r>
      <w:r>
        <w:rPr>
          <w:rFonts w:hint="eastAsia" w:ascii="宋体" w:hAnsi="宋体" w:eastAsia="宋体" w:cs="宋体"/>
          <w:kern w:val="0"/>
          <w:sz w:val="30"/>
          <w:szCs w:val="30"/>
        </w:rPr>
        <w:t>日，乙方指定办理的分支机构为：</w:t>
      </w:r>
      <w:r>
        <w:rPr>
          <w:rFonts w:hint="eastAsia" w:ascii="宋体" w:hAnsi="宋体" w:eastAsia="宋体" w:cs="宋体"/>
          <w:kern w:val="0"/>
          <w:sz w:val="30"/>
          <w:szCs w:val="30"/>
          <w:u w:val="single"/>
        </w:rPr>
        <w:t>                    </w:t>
      </w:r>
      <w:r>
        <w:rPr>
          <w:rFonts w:hint="eastAsia" w:ascii="宋体" w:hAnsi="宋体" w:eastAsia="宋体" w:cs="宋体"/>
          <w:kern w:val="0"/>
          <w:sz w:val="30"/>
          <w:szCs w:val="30"/>
        </w:rPr>
        <w:t>。</w:t>
      </w:r>
    </w:p>
    <w:p>
      <w:pPr>
        <w:ind w:firstLine="602" w:firstLineChars="200"/>
        <w:rPr>
          <w:rFonts w:ascii="宋体" w:hAnsi="宋体" w:eastAsia="宋体" w:cs="宋体"/>
          <w:b/>
          <w:kern w:val="0"/>
          <w:sz w:val="30"/>
          <w:szCs w:val="30"/>
        </w:rPr>
      </w:pPr>
      <w:r>
        <w:rPr>
          <w:rFonts w:hint="eastAsia" w:ascii="宋体" w:hAnsi="宋体" w:eastAsia="宋体" w:cs="宋体"/>
          <w:b/>
          <w:kern w:val="0"/>
          <w:sz w:val="30"/>
          <w:szCs w:val="30"/>
        </w:rPr>
        <w:t>二、乙方提供的服务主要包括以下内容：</w:t>
      </w:r>
    </w:p>
    <w:p>
      <w:pPr>
        <w:ind w:firstLine="579" w:firstLineChars="193"/>
        <w:rPr>
          <w:rFonts w:ascii="宋体" w:hAnsi="宋体" w:eastAsia="宋体" w:cs="宋体"/>
          <w:sz w:val="30"/>
          <w:szCs w:val="30"/>
        </w:rPr>
      </w:pPr>
      <w:r>
        <w:rPr>
          <w:rFonts w:hint="eastAsia" w:ascii="宋体" w:hAnsi="宋体" w:eastAsia="宋体" w:cs="宋体"/>
          <w:sz w:val="30"/>
          <w:szCs w:val="30"/>
        </w:rPr>
        <w:t>1、招标人单位账户开户及日常资金收付结算服务、账户对账服务、年检服务、网银操作、安全保障等在内的一切配套基本服务。</w:t>
      </w:r>
    </w:p>
    <w:p>
      <w:pPr>
        <w:ind w:firstLine="579" w:firstLineChars="193"/>
        <w:rPr>
          <w:rFonts w:ascii="宋体" w:hAnsi="宋体" w:eastAsia="宋体" w:cs="宋体"/>
          <w:sz w:val="30"/>
          <w:szCs w:val="30"/>
        </w:rPr>
      </w:pPr>
      <w:r>
        <w:rPr>
          <w:rFonts w:hint="eastAsia" w:ascii="宋体" w:hAnsi="宋体" w:eastAsia="宋体" w:cs="宋体"/>
          <w:sz w:val="30"/>
          <w:szCs w:val="30"/>
        </w:rPr>
        <w:t>2、接纳银行支票、汇票、本票或者金融机构、担保机构出具的保函等所有非现金形式的支付业务。</w:t>
      </w:r>
    </w:p>
    <w:p>
      <w:pPr>
        <w:ind w:firstLine="579" w:firstLineChars="193"/>
        <w:rPr>
          <w:rFonts w:ascii="宋体" w:hAnsi="宋体" w:eastAsia="宋体" w:cs="宋体"/>
          <w:sz w:val="30"/>
          <w:szCs w:val="30"/>
        </w:rPr>
      </w:pPr>
      <w:r>
        <w:rPr>
          <w:rFonts w:hint="eastAsia" w:ascii="宋体" w:hAnsi="宋体" w:eastAsia="宋体" w:cs="宋体"/>
          <w:sz w:val="30"/>
          <w:szCs w:val="30"/>
        </w:rPr>
        <w:t>3、接受从所有银行帐户提交的支付信息，并支持网上、柜面、自助终端等多种支付方式。</w:t>
      </w:r>
    </w:p>
    <w:p>
      <w:pPr>
        <w:ind w:firstLine="579" w:firstLineChars="193"/>
        <w:rPr>
          <w:rFonts w:ascii="宋体" w:hAnsi="宋体" w:eastAsia="宋体" w:cs="宋体"/>
          <w:sz w:val="30"/>
          <w:szCs w:val="30"/>
        </w:rPr>
      </w:pPr>
      <w:r>
        <w:rPr>
          <w:rFonts w:hint="eastAsia" w:ascii="宋体" w:hAnsi="宋体" w:eastAsia="宋体" w:cs="宋体"/>
          <w:sz w:val="30"/>
          <w:szCs w:val="30"/>
        </w:rPr>
        <w:t>4、应具备提供境内的施工单位的诚信记录；具备验证施工单位银行保函真伪的功能。</w:t>
      </w:r>
    </w:p>
    <w:p>
      <w:pPr>
        <w:ind w:firstLine="579" w:firstLineChars="193"/>
        <w:rPr>
          <w:rFonts w:ascii="宋体" w:hAnsi="宋体" w:eastAsia="宋体" w:cs="宋体"/>
          <w:sz w:val="30"/>
          <w:szCs w:val="30"/>
        </w:rPr>
      </w:pPr>
      <w:r>
        <w:rPr>
          <w:rFonts w:hint="eastAsia" w:ascii="宋体" w:hAnsi="宋体" w:eastAsia="宋体" w:cs="宋体"/>
          <w:sz w:val="30"/>
          <w:szCs w:val="30"/>
        </w:rPr>
        <w:t>5、应采取与专户相关联的信息技术，并具备保密和解密功能。</w:t>
      </w:r>
    </w:p>
    <w:p>
      <w:pPr>
        <w:ind w:firstLine="579" w:firstLineChars="193"/>
        <w:rPr>
          <w:rFonts w:ascii="宋体" w:hAnsi="宋体" w:eastAsia="宋体" w:cs="宋体"/>
          <w:sz w:val="30"/>
          <w:szCs w:val="30"/>
        </w:rPr>
      </w:pPr>
      <w:r>
        <w:rPr>
          <w:rFonts w:hint="eastAsia" w:ascii="宋体" w:hAnsi="宋体" w:eastAsia="宋体" w:cs="宋体"/>
          <w:sz w:val="30"/>
          <w:szCs w:val="30"/>
        </w:rPr>
        <w:t>6、应向招标人提供网上实时更新的专户明细信息查询方式（区别解密段、保密段信息设置）。</w:t>
      </w:r>
    </w:p>
    <w:p>
      <w:pPr>
        <w:ind w:firstLine="579" w:firstLineChars="193"/>
        <w:rPr>
          <w:rFonts w:ascii="宋体" w:hAnsi="宋体" w:eastAsia="宋体" w:cs="宋体"/>
          <w:sz w:val="30"/>
          <w:szCs w:val="30"/>
        </w:rPr>
      </w:pPr>
      <w:r>
        <w:rPr>
          <w:rFonts w:hint="eastAsia" w:ascii="宋体" w:hAnsi="宋体" w:eastAsia="宋体" w:cs="宋体"/>
          <w:sz w:val="30"/>
          <w:szCs w:val="30"/>
        </w:rPr>
        <w:t>7、应向招标人提供便捷的数据导入导出模式。</w:t>
      </w:r>
    </w:p>
    <w:p>
      <w:pPr>
        <w:ind w:firstLine="579" w:firstLineChars="193"/>
        <w:rPr>
          <w:rFonts w:ascii="宋体" w:hAnsi="宋体" w:eastAsia="宋体" w:cs="宋体"/>
          <w:sz w:val="30"/>
          <w:szCs w:val="30"/>
        </w:rPr>
      </w:pPr>
      <w:r>
        <w:rPr>
          <w:rFonts w:hint="eastAsia" w:ascii="宋体" w:hAnsi="宋体" w:eastAsia="宋体" w:cs="宋体"/>
          <w:sz w:val="30"/>
          <w:szCs w:val="30"/>
        </w:rPr>
        <w:t>8、应提供贷款支持、服务费用减免等银行服务优惠措施。</w:t>
      </w:r>
    </w:p>
    <w:p>
      <w:pPr>
        <w:ind w:firstLine="579" w:firstLineChars="193"/>
        <w:rPr>
          <w:rFonts w:ascii="宋体" w:hAnsi="宋体" w:eastAsia="宋体" w:cs="宋体"/>
          <w:sz w:val="30"/>
          <w:szCs w:val="30"/>
        </w:rPr>
      </w:pPr>
      <w:r>
        <w:rPr>
          <w:rFonts w:hint="eastAsia" w:ascii="宋体" w:hAnsi="宋体" w:eastAsia="宋体" w:cs="宋体"/>
          <w:sz w:val="30"/>
          <w:szCs w:val="30"/>
        </w:rPr>
        <w:t>9、提供以往财政服务履约情况、提供储户风险保障方案以及拟派提供服务的支行及客户经理服务方案（如：回单送达、年检年审、资金证明开具、取退还保证金支票等上门服务工作）等。</w:t>
      </w:r>
    </w:p>
    <w:p>
      <w:pPr>
        <w:ind w:firstLine="579" w:firstLineChars="193"/>
        <w:rPr>
          <w:rFonts w:ascii="宋体" w:hAnsi="宋体" w:eastAsia="宋体" w:cs="宋体"/>
          <w:sz w:val="30"/>
          <w:szCs w:val="30"/>
        </w:rPr>
      </w:pPr>
      <w:r>
        <w:rPr>
          <w:rFonts w:hint="eastAsia" w:ascii="宋体" w:hAnsi="宋体" w:eastAsia="宋体" w:cs="宋体"/>
          <w:sz w:val="30"/>
          <w:szCs w:val="30"/>
        </w:rPr>
        <w:t>10、能为招标人提供便捷服务。</w:t>
      </w:r>
    </w:p>
    <w:p>
      <w:pPr>
        <w:ind w:firstLine="579" w:firstLineChars="193"/>
        <w:rPr>
          <w:rFonts w:ascii="宋体" w:hAnsi="宋体" w:eastAsia="宋体" w:cs="宋体"/>
          <w:sz w:val="30"/>
          <w:szCs w:val="30"/>
        </w:rPr>
      </w:pPr>
      <w:r>
        <w:rPr>
          <w:rFonts w:hint="eastAsia" w:ascii="宋体" w:hAnsi="宋体" w:eastAsia="宋体" w:cs="宋体"/>
          <w:sz w:val="30"/>
          <w:szCs w:val="30"/>
        </w:rPr>
        <w:t>11、及时、无偿向招标人提供保密及解锁、对账服务、分账核算、各类查询、原路退款、电话咨询、网上银行服务等，不得提出本协议书内容之外的任何附加条件。</w:t>
      </w:r>
    </w:p>
    <w:p>
      <w:pPr>
        <w:ind w:firstLine="579" w:firstLineChars="193"/>
        <w:rPr>
          <w:rFonts w:ascii="宋体" w:hAnsi="宋体" w:eastAsia="宋体" w:cs="宋体"/>
          <w:sz w:val="30"/>
          <w:szCs w:val="30"/>
        </w:rPr>
      </w:pPr>
      <w:r>
        <w:rPr>
          <w:rFonts w:hint="eastAsia" w:ascii="宋体" w:hAnsi="宋体" w:eastAsia="宋体" w:cs="宋体"/>
          <w:sz w:val="30"/>
          <w:szCs w:val="30"/>
        </w:rPr>
        <w:t>12、指定针对本项目资金性质的风险保障方案。</w:t>
      </w:r>
    </w:p>
    <w:p>
      <w:pPr>
        <w:ind w:firstLine="579" w:firstLineChars="193"/>
        <w:rPr>
          <w:rFonts w:ascii="宋体" w:hAnsi="宋体" w:eastAsia="宋体" w:cs="宋体"/>
          <w:sz w:val="30"/>
          <w:szCs w:val="30"/>
        </w:rPr>
      </w:pPr>
      <w:r>
        <w:rPr>
          <w:rFonts w:hint="eastAsia" w:ascii="宋体" w:hAnsi="宋体" w:eastAsia="宋体" w:cs="宋体"/>
          <w:sz w:val="30"/>
          <w:szCs w:val="30"/>
        </w:rPr>
        <w:t>13、合同期内招标人提出的有关账户管理的服务。</w:t>
      </w:r>
    </w:p>
    <w:p>
      <w:pPr>
        <w:ind w:firstLine="579" w:firstLineChars="193"/>
        <w:rPr>
          <w:rFonts w:ascii="宋体" w:hAnsi="宋体" w:eastAsia="宋体" w:cs="宋体"/>
          <w:sz w:val="30"/>
          <w:szCs w:val="30"/>
        </w:rPr>
      </w:pPr>
      <w:r>
        <w:rPr>
          <w:rFonts w:hint="eastAsia" w:ascii="宋体" w:hAnsi="宋体" w:eastAsia="宋体" w:cs="宋体"/>
          <w:sz w:val="30"/>
          <w:szCs w:val="30"/>
        </w:rPr>
        <w:t>14、投标银行指定服务机构必须是帐户最终的存放网点,不得随意转移</w:t>
      </w:r>
      <w:r>
        <w:rPr>
          <w:rFonts w:hint="eastAsia" w:ascii="宋体" w:hAnsi="宋体" w:eastAsia="宋体" w:cs="宋体"/>
          <w:b/>
          <w:bCs/>
          <w:sz w:val="30"/>
          <w:szCs w:val="30"/>
        </w:rPr>
        <w:t>（投标银行应在投标文件中指明指定服务机构名称</w:t>
      </w:r>
      <w:r>
        <w:rPr>
          <w:rFonts w:hint="eastAsia" w:ascii="宋体" w:hAnsi="宋体" w:eastAsia="宋体" w:cs="宋体"/>
          <w:sz w:val="30"/>
          <w:szCs w:val="30"/>
        </w:rPr>
        <w:t>）。</w:t>
      </w:r>
    </w:p>
    <w:p>
      <w:pPr>
        <w:ind w:firstLine="602" w:firstLineChars="200"/>
        <w:rPr>
          <w:rFonts w:ascii="宋体" w:hAnsi="宋体" w:eastAsia="宋体" w:cs="宋体"/>
          <w:b/>
          <w:sz w:val="30"/>
          <w:szCs w:val="30"/>
        </w:rPr>
      </w:pPr>
      <w:r>
        <w:rPr>
          <w:rFonts w:hint="eastAsia" w:ascii="宋体" w:hAnsi="宋体" w:eastAsia="宋体" w:cs="宋体"/>
          <w:b/>
          <w:sz w:val="30"/>
          <w:szCs w:val="30"/>
        </w:rPr>
        <w:t>三、乙方出现以下情形之一的，甲方有权提前收回存放公款（即协议终止条件）：</w:t>
      </w:r>
    </w:p>
    <w:p>
      <w:pPr>
        <w:ind w:firstLine="579" w:firstLineChars="193"/>
        <w:rPr>
          <w:rFonts w:ascii="宋体" w:hAnsi="宋体" w:eastAsia="宋体" w:cs="宋体"/>
          <w:sz w:val="30"/>
          <w:szCs w:val="30"/>
        </w:rPr>
      </w:pPr>
      <w:r>
        <w:rPr>
          <w:rFonts w:hint="eastAsia" w:ascii="宋体" w:hAnsi="宋体" w:eastAsia="宋体" w:cs="宋体"/>
          <w:sz w:val="30"/>
          <w:szCs w:val="30"/>
        </w:rPr>
        <w:t>（1）出现资金安全事故、重大违法违规情况或财务恶化；</w:t>
      </w:r>
    </w:p>
    <w:p>
      <w:pPr>
        <w:ind w:firstLine="579" w:firstLineChars="193"/>
        <w:rPr>
          <w:rFonts w:ascii="宋体" w:hAnsi="宋体" w:eastAsia="宋体" w:cs="宋体"/>
          <w:sz w:val="30"/>
          <w:szCs w:val="30"/>
        </w:rPr>
      </w:pPr>
      <w:r>
        <w:rPr>
          <w:rFonts w:hint="eastAsia" w:ascii="宋体" w:hAnsi="宋体" w:eastAsia="宋体" w:cs="宋体"/>
          <w:sz w:val="30"/>
          <w:szCs w:val="30"/>
        </w:rPr>
        <w:t>（2）监管评级降低，监管部门认为存在较大运营风险；</w:t>
      </w:r>
    </w:p>
    <w:p>
      <w:pPr>
        <w:ind w:firstLine="579" w:firstLineChars="193"/>
        <w:rPr>
          <w:rFonts w:ascii="宋体" w:hAnsi="宋体" w:eastAsia="宋体" w:cs="宋体"/>
          <w:sz w:val="30"/>
          <w:szCs w:val="30"/>
        </w:rPr>
      </w:pPr>
      <w:r>
        <w:rPr>
          <w:rFonts w:hint="eastAsia" w:ascii="宋体" w:hAnsi="宋体" w:eastAsia="宋体" w:cs="宋体"/>
          <w:sz w:val="30"/>
          <w:szCs w:val="30"/>
        </w:rPr>
        <w:t>（3）进行严重不正当投标；</w:t>
      </w:r>
    </w:p>
    <w:p>
      <w:pPr>
        <w:ind w:firstLine="579" w:firstLineChars="193"/>
        <w:rPr>
          <w:rFonts w:ascii="宋体" w:hAnsi="宋体" w:eastAsia="宋体" w:cs="宋体"/>
          <w:sz w:val="30"/>
          <w:szCs w:val="30"/>
        </w:rPr>
      </w:pPr>
      <w:r>
        <w:rPr>
          <w:rFonts w:hint="eastAsia" w:ascii="宋体" w:hAnsi="宋体" w:eastAsia="宋体" w:cs="宋体"/>
          <w:sz w:val="30"/>
          <w:szCs w:val="30"/>
        </w:rPr>
        <w:t>（4）未按照中标协议承诺履行相应的责任和义务；</w:t>
      </w:r>
    </w:p>
    <w:p>
      <w:pPr>
        <w:ind w:firstLine="579" w:firstLineChars="193"/>
        <w:rPr>
          <w:rFonts w:ascii="宋体" w:hAnsi="宋体" w:eastAsia="宋体" w:cs="宋体"/>
          <w:sz w:val="30"/>
          <w:szCs w:val="30"/>
        </w:rPr>
      </w:pPr>
      <w:r>
        <w:rPr>
          <w:rFonts w:hint="eastAsia" w:ascii="宋体" w:hAnsi="宋体" w:eastAsia="宋体" w:cs="宋体"/>
          <w:sz w:val="30"/>
          <w:szCs w:val="30"/>
        </w:rPr>
        <w:t>（5）擅自降低服务条件和服务内容的；</w:t>
      </w:r>
    </w:p>
    <w:p>
      <w:pPr>
        <w:ind w:firstLine="579" w:firstLineChars="193"/>
        <w:rPr>
          <w:rFonts w:ascii="宋体" w:hAnsi="宋体" w:eastAsia="宋体" w:cs="宋体"/>
          <w:b/>
          <w:kern w:val="0"/>
          <w:sz w:val="30"/>
          <w:szCs w:val="30"/>
          <w:u w:val="single"/>
        </w:rPr>
      </w:pPr>
      <w:r>
        <w:rPr>
          <w:rFonts w:hint="eastAsia" w:ascii="宋体" w:hAnsi="宋体" w:eastAsia="宋体" w:cs="宋体"/>
          <w:sz w:val="30"/>
          <w:szCs w:val="30"/>
        </w:rPr>
        <w:t>（6）出现银行挤兑、存款被盗或其他可能妨害公款安全的情形。</w:t>
      </w:r>
    </w:p>
    <w:p>
      <w:pPr>
        <w:ind w:firstLine="602" w:firstLineChars="200"/>
        <w:rPr>
          <w:rFonts w:ascii="宋体" w:hAnsi="宋体" w:eastAsia="宋体" w:cs="宋体"/>
          <w:b/>
          <w:kern w:val="0"/>
          <w:sz w:val="30"/>
          <w:szCs w:val="30"/>
        </w:rPr>
      </w:pPr>
      <w:r>
        <w:rPr>
          <w:rFonts w:hint="eastAsia" w:ascii="宋体" w:hAnsi="宋体" w:eastAsia="宋体" w:cs="宋体"/>
          <w:b/>
          <w:kern w:val="0"/>
          <w:sz w:val="30"/>
          <w:szCs w:val="30"/>
        </w:rPr>
        <w:t>四、违约责任</w:t>
      </w:r>
    </w:p>
    <w:p>
      <w:pPr>
        <w:ind w:firstLine="579" w:firstLineChars="193"/>
        <w:rPr>
          <w:rFonts w:ascii="宋体" w:hAnsi="宋体" w:eastAsia="宋体" w:cs="宋体"/>
          <w:sz w:val="30"/>
          <w:szCs w:val="30"/>
        </w:rPr>
      </w:pPr>
      <w:r>
        <w:rPr>
          <w:rFonts w:hint="eastAsia" w:ascii="宋体" w:hAnsi="宋体" w:eastAsia="宋体" w:cs="宋体"/>
          <w:sz w:val="30"/>
          <w:szCs w:val="30"/>
        </w:rPr>
        <w:t>1、双方要严格按协议履约。</w:t>
      </w:r>
    </w:p>
    <w:p>
      <w:pPr>
        <w:ind w:firstLine="579" w:firstLineChars="193"/>
        <w:rPr>
          <w:rFonts w:ascii="宋体" w:hAnsi="宋体" w:eastAsia="宋体" w:cs="宋体"/>
          <w:sz w:val="30"/>
          <w:szCs w:val="30"/>
        </w:rPr>
      </w:pPr>
      <w:r>
        <w:rPr>
          <w:rFonts w:hint="eastAsia" w:ascii="宋体" w:hAnsi="宋体" w:eastAsia="宋体" w:cs="宋体"/>
          <w:sz w:val="30"/>
          <w:szCs w:val="30"/>
        </w:rPr>
        <w:t>2、如发现乙方违反招投标文件和协议的有关规定，甲方有权根据招标文件和相应的法律法规要求对乙方进行处罚，并有权提前终止协议书。</w:t>
      </w:r>
    </w:p>
    <w:p>
      <w:pPr>
        <w:ind w:firstLine="602" w:firstLineChars="200"/>
        <w:rPr>
          <w:rFonts w:ascii="宋体" w:hAnsi="宋体" w:eastAsia="宋体" w:cs="宋体"/>
          <w:b/>
          <w:sz w:val="30"/>
          <w:szCs w:val="30"/>
        </w:rPr>
      </w:pPr>
      <w:r>
        <w:rPr>
          <w:rFonts w:hint="eastAsia" w:ascii="宋体" w:hAnsi="宋体" w:eastAsia="宋体" w:cs="宋体"/>
          <w:b/>
          <w:sz w:val="30"/>
          <w:szCs w:val="30"/>
        </w:rPr>
        <w:t>五、本协议如发生纠纷，甲、乙应当及时协商解决。</w:t>
      </w:r>
    </w:p>
    <w:p>
      <w:pPr>
        <w:ind w:firstLine="602" w:firstLineChars="200"/>
        <w:rPr>
          <w:rFonts w:ascii="宋体" w:hAnsi="宋体" w:eastAsia="宋体" w:cs="宋体"/>
          <w:b/>
          <w:sz w:val="30"/>
          <w:szCs w:val="30"/>
        </w:rPr>
      </w:pPr>
      <w:r>
        <w:rPr>
          <w:rFonts w:hint="eastAsia" w:ascii="宋体" w:hAnsi="宋体" w:eastAsia="宋体" w:cs="宋体"/>
          <w:b/>
          <w:sz w:val="30"/>
          <w:szCs w:val="30"/>
        </w:rPr>
        <w:t>六、协议履行期内甲乙双方均不得随意变更或解除协议。协议书若有未尽事宜，需经双方共同协商，作出补充规定，补充规定与本协议书有同等法律效力。</w:t>
      </w:r>
    </w:p>
    <w:p>
      <w:pPr>
        <w:ind w:firstLine="602" w:firstLineChars="200"/>
        <w:rPr>
          <w:rFonts w:ascii="宋体" w:hAnsi="宋体" w:eastAsia="宋体" w:cs="宋体"/>
          <w:sz w:val="30"/>
          <w:szCs w:val="30"/>
        </w:rPr>
      </w:pPr>
      <w:r>
        <w:rPr>
          <w:rFonts w:hint="eastAsia" w:ascii="宋体" w:hAnsi="宋体" w:eastAsia="宋体" w:cs="宋体"/>
          <w:b/>
          <w:sz w:val="30"/>
          <w:szCs w:val="30"/>
        </w:rPr>
        <w:t>七、招标文件、投标文件及评标过程中形成的文字资料、询标纪要均作为本协议的组成部分，具有同等效力。</w:t>
      </w:r>
    </w:p>
    <w:p>
      <w:pPr>
        <w:ind w:firstLine="602" w:firstLineChars="200"/>
        <w:rPr>
          <w:rFonts w:ascii="宋体" w:hAnsi="宋体" w:eastAsia="宋体" w:cs="宋体"/>
          <w:b/>
          <w:kern w:val="0"/>
          <w:sz w:val="30"/>
          <w:szCs w:val="30"/>
        </w:rPr>
      </w:pPr>
      <w:r>
        <w:rPr>
          <w:rFonts w:hint="eastAsia" w:ascii="宋体" w:hAnsi="宋体" w:eastAsia="宋体" w:cs="宋体"/>
          <w:b/>
          <w:kern w:val="0"/>
          <w:sz w:val="30"/>
          <w:szCs w:val="30"/>
        </w:rPr>
        <w:t>八、合同生效及其它</w:t>
      </w:r>
    </w:p>
    <w:p>
      <w:pPr>
        <w:ind w:firstLine="579" w:firstLineChars="193"/>
        <w:rPr>
          <w:rFonts w:ascii="宋体" w:hAnsi="宋体" w:eastAsia="宋体" w:cs="宋体"/>
          <w:b/>
          <w:kern w:val="0"/>
          <w:sz w:val="30"/>
          <w:szCs w:val="30"/>
        </w:rPr>
      </w:pPr>
      <w:r>
        <w:rPr>
          <w:rFonts w:hint="eastAsia" w:ascii="宋体" w:hAnsi="宋体" w:eastAsia="宋体" w:cs="宋体"/>
          <w:kern w:val="0"/>
          <w:sz w:val="30"/>
          <w:szCs w:val="30"/>
        </w:rPr>
        <w:t>1、合同经双方法定代表人或授权委托代理人签字并加盖单位公章后生效。</w:t>
      </w:r>
    </w:p>
    <w:p>
      <w:pPr>
        <w:ind w:firstLine="579" w:firstLineChars="193"/>
        <w:rPr>
          <w:rFonts w:ascii="宋体" w:hAnsi="宋体" w:eastAsia="宋体" w:cs="宋体"/>
          <w:kern w:val="0"/>
          <w:sz w:val="30"/>
          <w:szCs w:val="30"/>
        </w:rPr>
      </w:pPr>
      <w:r>
        <w:rPr>
          <w:rFonts w:hint="eastAsia" w:ascii="宋体" w:hAnsi="宋体" w:eastAsia="宋体" w:cs="宋体"/>
          <w:kern w:val="0"/>
          <w:sz w:val="30"/>
          <w:szCs w:val="30"/>
        </w:rPr>
        <w:t>2、本合同未尽事宜，遵照《民法典》有关条文执行。</w:t>
      </w:r>
    </w:p>
    <w:p>
      <w:pPr>
        <w:ind w:firstLine="579" w:firstLineChars="193"/>
        <w:rPr>
          <w:rFonts w:ascii="宋体" w:hAnsi="宋体" w:eastAsia="宋体" w:cs="宋体"/>
          <w:kern w:val="0"/>
          <w:sz w:val="30"/>
          <w:szCs w:val="30"/>
        </w:rPr>
      </w:pPr>
      <w:r>
        <w:rPr>
          <w:rFonts w:hint="eastAsia" w:ascii="宋体" w:hAnsi="宋体" w:eastAsia="宋体" w:cs="宋体"/>
          <w:kern w:val="0"/>
          <w:sz w:val="30"/>
          <w:szCs w:val="30"/>
        </w:rPr>
        <w:t>3、本合同正本一式</w:t>
      </w:r>
      <w:r>
        <w:rPr>
          <w:rFonts w:hint="eastAsia" w:ascii="宋体" w:hAnsi="宋体" w:eastAsia="宋体" w:cs="宋体"/>
          <w:kern w:val="0"/>
          <w:sz w:val="30"/>
          <w:szCs w:val="30"/>
          <w:u w:val="single"/>
        </w:rPr>
        <w:t>肆</w:t>
      </w:r>
      <w:r>
        <w:rPr>
          <w:rFonts w:hint="eastAsia" w:ascii="宋体" w:hAnsi="宋体" w:eastAsia="宋体" w:cs="宋体"/>
          <w:kern w:val="0"/>
          <w:sz w:val="30"/>
          <w:szCs w:val="30"/>
        </w:rPr>
        <w:t>份，具有同等法律效力，甲乙双方各执</w:t>
      </w:r>
      <w:r>
        <w:rPr>
          <w:rFonts w:hint="eastAsia" w:ascii="宋体" w:hAnsi="宋体" w:eastAsia="宋体" w:cs="宋体"/>
          <w:kern w:val="0"/>
          <w:sz w:val="30"/>
          <w:szCs w:val="30"/>
          <w:u w:val="single"/>
        </w:rPr>
        <w:t>贰</w:t>
      </w:r>
      <w:r>
        <w:rPr>
          <w:rFonts w:hint="eastAsia" w:ascii="宋体" w:hAnsi="宋体" w:eastAsia="宋体" w:cs="宋体"/>
          <w:kern w:val="0"/>
          <w:sz w:val="30"/>
          <w:szCs w:val="30"/>
        </w:rPr>
        <w:t>份。</w:t>
      </w:r>
    </w:p>
    <w:p>
      <w:pPr>
        <w:ind w:firstLine="576" w:firstLineChars="192"/>
        <w:rPr>
          <w:rFonts w:ascii="宋体" w:hAnsi="宋体" w:eastAsia="宋体" w:cs="宋体"/>
          <w:kern w:val="0"/>
          <w:sz w:val="30"/>
          <w:szCs w:val="30"/>
        </w:rPr>
      </w:pPr>
    </w:p>
    <w:p>
      <w:pPr>
        <w:pStyle w:val="2"/>
        <w:ind w:firstLine="300"/>
        <w:rPr>
          <w:rFonts w:ascii="宋体" w:hAnsi="宋体" w:eastAsia="宋体" w:cs="宋体"/>
          <w:kern w:val="0"/>
          <w:sz w:val="30"/>
          <w:szCs w:val="30"/>
        </w:rPr>
      </w:pPr>
    </w:p>
    <w:p>
      <w:pPr>
        <w:pStyle w:val="4"/>
        <w:rPr>
          <w:rFonts w:ascii="宋体" w:hAnsi="宋体" w:eastAsia="宋体" w:cs="宋体"/>
          <w:kern w:val="0"/>
          <w:sz w:val="30"/>
          <w:szCs w:val="30"/>
        </w:rPr>
      </w:pPr>
    </w:p>
    <w:p/>
    <w:tbl>
      <w:tblPr>
        <w:tblStyle w:val="13"/>
        <w:tblW w:w="0" w:type="auto"/>
        <w:tblInd w:w="0" w:type="dxa"/>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454" w:hRule="atLeast"/>
        </w:trPr>
        <w:tc>
          <w:tcPr>
            <w:tcW w:w="4519" w:type="dxa"/>
            <w:vAlign w:val="center"/>
          </w:tcPr>
          <w:p>
            <w:pPr>
              <w:jc w:val="left"/>
              <w:rPr>
                <w:rFonts w:ascii="宋体" w:hAnsi="宋体" w:eastAsia="宋体" w:cs="宋体"/>
                <w:sz w:val="30"/>
                <w:szCs w:val="30"/>
              </w:rPr>
            </w:pPr>
            <w:r>
              <w:rPr>
                <w:rFonts w:hint="eastAsia" w:ascii="宋体" w:hAnsi="宋体" w:eastAsia="宋体" w:cs="宋体"/>
                <w:sz w:val="30"/>
                <w:szCs w:val="30"/>
              </w:rPr>
              <w:t>甲方（盖章）：</w:t>
            </w:r>
          </w:p>
        </w:tc>
        <w:tc>
          <w:tcPr>
            <w:tcW w:w="4520" w:type="dxa"/>
            <w:vAlign w:val="center"/>
          </w:tcPr>
          <w:p>
            <w:pPr>
              <w:jc w:val="left"/>
              <w:rPr>
                <w:rFonts w:ascii="宋体" w:hAnsi="宋体" w:eastAsia="宋体" w:cs="宋体"/>
                <w:sz w:val="30"/>
                <w:szCs w:val="30"/>
              </w:rPr>
            </w:pPr>
            <w:r>
              <w:rPr>
                <w:rFonts w:hint="eastAsia" w:ascii="宋体" w:hAnsi="宋体" w:eastAsia="宋体" w:cs="宋体"/>
                <w:sz w:val="30"/>
                <w:szCs w:val="30"/>
              </w:rPr>
              <w:t>乙方（盖章）：</w:t>
            </w:r>
          </w:p>
        </w:tc>
      </w:tr>
      <w:tr>
        <w:tblPrEx>
          <w:tblCellMar>
            <w:top w:w="0" w:type="dxa"/>
            <w:left w:w="108" w:type="dxa"/>
            <w:bottom w:w="0" w:type="dxa"/>
            <w:right w:w="108" w:type="dxa"/>
          </w:tblCellMar>
        </w:tblPrEx>
        <w:trPr>
          <w:trHeight w:val="454" w:hRule="atLeast"/>
        </w:trPr>
        <w:tc>
          <w:tcPr>
            <w:tcW w:w="4519" w:type="dxa"/>
            <w:vAlign w:val="center"/>
          </w:tcPr>
          <w:p>
            <w:pPr>
              <w:jc w:val="left"/>
              <w:rPr>
                <w:rFonts w:ascii="宋体" w:hAnsi="宋体" w:eastAsia="宋体" w:cs="宋体"/>
                <w:sz w:val="30"/>
                <w:szCs w:val="30"/>
              </w:rPr>
            </w:pPr>
            <w:r>
              <w:rPr>
                <w:rFonts w:hint="eastAsia" w:ascii="宋体" w:hAnsi="宋体" w:eastAsia="宋体" w:cs="宋体"/>
                <w:sz w:val="30"/>
                <w:szCs w:val="30"/>
              </w:rPr>
              <w:t>地址：</w:t>
            </w:r>
          </w:p>
        </w:tc>
        <w:tc>
          <w:tcPr>
            <w:tcW w:w="4520" w:type="dxa"/>
            <w:vAlign w:val="center"/>
          </w:tcPr>
          <w:p>
            <w:pPr>
              <w:jc w:val="left"/>
              <w:rPr>
                <w:rFonts w:ascii="宋体" w:hAnsi="宋体" w:eastAsia="宋体" w:cs="宋体"/>
                <w:sz w:val="30"/>
                <w:szCs w:val="30"/>
              </w:rPr>
            </w:pPr>
            <w:r>
              <w:rPr>
                <w:rFonts w:hint="eastAsia" w:ascii="宋体" w:hAnsi="宋体" w:eastAsia="宋体" w:cs="宋体"/>
                <w:sz w:val="30"/>
                <w:szCs w:val="30"/>
              </w:rPr>
              <w:t>地址：</w:t>
            </w:r>
          </w:p>
        </w:tc>
      </w:tr>
      <w:tr>
        <w:tblPrEx>
          <w:tblCellMar>
            <w:top w:w="0" w:type="dxa"/>
            <w:left w:w="108" w:type="dxa"/>
            <w:bottom w:w="0" w:type="dxa"/>
            <w:right w:w="108" w:type="dxa"/>
          </w:tblCellMar>
        </w:tblPrEx>
        <w:trPr>
          <w:trHeight w:val="454" w:hRule="atLeast"/>
        </w:trPr>
        <w:tc>
          <w:tcPr>
            <w:tcW w:w="4519" w:type="dxa"/>
            <w:vAlign w:val="center"/>
          </w:tcPr>
          <w:p>
            <w:pPr>
              <w:jc w:val="left"/>
              <w:rPr>
                <w:rFonts w:ascii="宋体" w:hAnsi="宋体" w:eastAsia="宋体" w:cs="宋体"/>
                <w:sz w:val="30"/>
                <w:szCs w:val="30"/>
              </w:rPr>
            </w:pPr>
            <w:r>
              <w:rPr>
                <w:rFonts w:hint="eastAsia" w:ascii="宋体" w:hAnsi="宋体" w:eastAsia="宋体" w:cs="宋体"/>
                <w:sz w:val="30"/>
                <w:szCs w:val="30"/>
              </w:rPr>
              <w:t>法定代表人（签字或盖章）：</w:t>
            </w:r>
          </w:p>
        </w:tc>
        <w:tc>
          <w:tcPr>
            <w:tcW w:w="4520" w:type="dxa"/>
            <w:vAlign w:val="center"/>
          </w:tcPr>
          <w:p>
            <w:pPr>
              <w:jc w:val="left"/>
              <w:rPr>
                <w:rFonts w:ascii="宋体" w:hAnsi="宋体" w:eastAsia="宋体" w:cs="宋体"/>
                <w:sz w:val="30"/>
                <w:szCs w:val="30"/>
              </w:rPr>
            </w:pPr>
            <w:r>
              <w:rPr>
                <w:rFonts w:hint="eastAsia" w:ascii="宋体" w:hAnsi="宋体" w:eastAsia="宋体" w:cs="宋体"/>
                <w:sz w:val="30"/>
                <w:szCs w:val="30"/>
              </w:rPr>
              <w:t>法定代表人（签字或盖章）：</w:t>
            </w:r>
          </w:p>
        </w:tc>
      </w:tr>
      <w:tr>
        <w:tblPrEx>
          <w:tblCellMar>
            <w:top w:w="0" w:type="dxa"/>
            <w:left w:w="108" w:type="dxa"/>
            <w:bottom w:w="0" w:type="dxa"/>
            <w:right w:w="108" w:type="dxa"/>
          </w:tblCellMar>
        </w:tblPrEx>
        <w:trPr>
          <w:trHeight w:val="454" w:hRule="atLeast"/>
        </w:trPr>
        <w:tc>
          <w:tcPr>
            <w:tcW w:w="4519" w:type="dxa"/>
            <w:vAlign w:val="center"/>
          </w:tcPr>
          <w:p>
            <w:pPr>
              <w:jc w:val="left"/>
              <w:rPr>
                <w:rFonts w:ascii="宋体" w:hAnsi="宋体" w:eastAsia="宋体" w:cs="宋体"/>
                <w:sz w:val="30"/>
                <w:szCs w:val="30"/>
              </w:rPr>
            </w:pPr>
            <w:r>
              <w:rPr>
                <w:rFonts w:hint="eastAsia" w:ascii="宋体" w:hAnsi="宋体" w:eastAsia="宋体" w:cs="宋体"/>
                <w:sz w:val="30"/>
                <w:szCs w:val="30"/>
              </w:rPr>
              <w:t>电话：</w:t>
            </w:r>
          </w:p>
        </w:tc>
        <w:tc>
          <w:tcPr>
            <w:tcW w:w="4520" w:type="dxa"/>
            <w:vAlign w:val="center"/>
          </w:tcPr>
          <w:p>
            <w:pPr>
              <w:jc w:val="left"/>
              <w:rPr>
                <w:rFonts w:ascii="宋体" w:hAnsi="宋体" w:eastAsia="宋体" w:cs="宋体"/>
                <w:sz w:val="30"/>
                <w:szCs w:val="30"/>
              </w:rPr>
            </w:pPr>
            <w:r>
              <w:rPr>
                <w:rFonts w:hint="eastAsia" w:ascii="宋体" w:hAnsi="宋体" w:eastAsia="宋体" w:cs="宋体"/>
                <w:sz w:val="30"/>
                <w:szCs w:val="30"/>
              </w:rPr>
              <w:t>电话：</w:t>
            </w:r>
          </w:p>
        </w:tc>
      </w:tr>
      <w:tr>
        <w:tblPrEx>
          <w:tblCellMar>
            <w:top w:w="0" w:type="dxa"/>
            <w:left w:w="108" w:type="dxa"/>
            <w:bottom w:w="0" w:type="dxa"/>
            <w:right w:w="108" w:type="dxa"/>
          </w:tblCellMar>
        </w:tblPrEx>
        <w:trPr>
          <w:trHeight w:val="454" w:hRule="atLeast"/>
        </w:trPr>
        <w:tc>
          <w:tcPr>
            <w:tcW w:w="4519" w:type="dxa"/>
            <w:vAlign w:val="center"/>
          </w:tcPr>
          <w:p>
            <w:pPr>
              <w:jc w:val="left"/>
              <w:rPr>
                <w:rFonts w:ascii="宋体" w:hAnsi="宋体" w:eastAsia="宋体" w:cs="宋体"/>
                <w:sz w:val="30"/>
                <w:szCs w:val="30"/>
              </w:rPr>
            </w:pPr>
            <w:r>
              <w:rPr>
                <w:rFonts w:hint="eastAsia" w:ascii="宋体" w:hAnsi="宋体" w:eastAsia="宋体" w:cs="宋体"/>
                <w:sz w:val="30"/>
                <w:szCs w:val="30"/>
              </w:rPr>
              <w:t>签订日期：      年   月   日</w:t>
            </w:r>
          </w:p>
        </w:tc>
        <w:tc>
          <w:tcPr>
            <w:tcW w:w="4520" w:type="dxa"/>
            <w:vAlign w:val="center"/>
          </w:tcPr>
          <w:p>
            <w:pPr>
              <w:jc w:val="left"/>
              <w:rPr>
                <w:rFonts w:ascii="宋体" w:hAnsi="宋体" w:eastAsia="宋体" w:cs="宋体"/>
                <w:sz w:val="30"/>
                <w:szCs w:val="30"/>
              </w:rPr>
            </w:pPr>
            <w:r>
              <w:rPr>
                <w:rFonts w:hint="eastAsia" w:ascii="宋体" w:hAnsi="宋体" w:eastAsia="宋体" w:cs="宋体"/>
                <w:sz w:val="30"/>
                <w:szCs w:val="30"/>
              </w:rPr>
              <w:t>签订日期：      年   月   日</w:t>
            </w:r>
          </w:p>
        </w:tc>
      </w:tr>
      <w:tr>
        <w:tblPrEx>
          <w:tblCellMar>
            <w:top w:w="0" w:type="dxa"/>
            <w:left w:w="108" w:type="dxa"/>
            <w:bottom w:w="0" w:type="dxa"/>
            <w:right w:w="108" w:type="dxa"/>
          </w:tblCellMar>
        </w:tblPrEx>
        <w:trPr>
          <w:trHeight w:val="454" w:hRule="atLeast"/>
        </w:trPr>
        <w:tc>
          <w:tcPr>
            <w:tcW w:w="4519" w:type="dxa"/>
            <w:vAlign w:val="center"/>
          </w:tcPr>
          <w:p>
            <w:pPr>
              <w:jc w:val="left"/>
              <w:rPr>
                <w:rFonts w:ascii="宋体" w:hAnsi="宋体" w:eastAsia="宋体" w:cs="宋体"/>
                <w:sz w:val="30"/>
                <w:szCs w:val="30"/>
              </w:rPr>
            </w:pPr>
            <w:r>
              <w:rPr>
                <w:rFonts w:hint="eastAsia" w:ascii="宋体" w:hAnsi="宋体" w:eastAsia="宋体" w:cs="宋体"/>
                <w:sz w:val="30"/>
                <w:szCs w:val="30"/>
              </w:rPr>
              <w:t>签订地点：</w:t>
            </w:r>
          </w:p>
        </w:tc>
        <w:tc>
          <w:tcPr>
            <w:tcW w:w="4520" w:type="dxa"/>
            <w:vAlign w:val="center"/>
          </w:tcPr>
          <w:p>
            <w:pPr>
              <w:jc w:val="left"/>
              <w:rPr>
                <w:rFonts w:ascii="宋体" w:hAnsi="宋体" w:eastAsia="宋体" w:cs="宋体"/>
                <w:sz w:val="30"/>
                <w:szCs w:val="30"/>
              </w:rPr>
            </w:pPr>
            <w:r>
              <w:rPr>
                <w:rFonts w:hint="eastAsia" w:ascii="宋体" w:hAnsi="宋体" w:eastAsia="宋体" w:cs="宋体"/>
                <w:sz w:val="30"/>
                <w:szCs w:val="30"/>
              </w:rPr>
              <w:t>签订地点：</w:t>
            </w:r>
          </w:p>
        </w:tc>
      </w:tr>
    </w:tbl>
    <w:p>
      <w:pPr>
        <w:jc w:val="center"/>
        <w:rPr>
          <w:rFonts w:ascii="宋体" w:hAnsi="宋体" w:eastAsia="宋体" w:cs="宋体"/>
          <w:b/>
          <w:bCs/>
          <w:kern w:val="36"/>
          <w:sz w:val="30"/>
          <w:szCs w:val="30"/>
        </w:rPr>
      </w:pPr>
      <w:r>
        <w:rPr>
          <w:rFonts w:hint="eastAsia" w:ascii="宋体" w:hAnsi="宋体" w:eastAsia="宋体" w:cs="仿宋_GB2312"/>
          <w:kern w:val="0"/>
          <w:sz w:val="30"/>
          <w:szCs w:val="30"/>
        </w:rPr>
        <w:br w:type="page"/>
      </w:r>
      <w:r>
        <w:rPr>
          <w:rFonts w:hint="eastAsia" w:ascii="宋体" w:hAnsi="宋体" w:eastAsia="宋体" w:cs="新宋体"/>
          <w:b/>
          <w:bCs/>
          <w:kern w:val="44"/>
          <w:sz w:val="30"/>
          <w:szCs w:val="30"/>
        </w:rPr>
        <w:t>第三部分  投标格式附件</w:t>
      </w:r>
    </w:p>
    <w:p>
      <w:pPr>
        <w:widowControl/>
        <w:overflowPunct w:val="0"/>
        <w:autoSpaceDE w:val="0"/>
        <w:autoSpaceDN w:val="0"/>
        <w:adjustRightInd w:val="0"/>
        <w:spacing w:line="450" w:lineRule="atLeast"/>
        <w:textAlignment w:val="baseline"/>
        <w:outlineLvl w:val="0"/>
        <w:rPr>
          <w:rFonts w:ascii="宋体" w:hAnsi="宋体" w:eastAsia="宋体" w:cs="Times New Roman"/>
          <w:b/>
          <w:kern w:val="0"/>
          <w:sz w:val="30"/>
          <w:szCs w:val="30"/>
        </w:rPr>
      </w:pPr>
      <w:bookmarkStart w:id="5" w:name="_Toc21398"/>
      <w:r>
        <w:rPr>
          <w:rFonts w:hint="eastAsia" w:ascii="宋体" w:hAnsi="宋体" w:eastAsia="宋体" w:cs="Times New Roman"/>
          <w:b/>
          <w:kern w:val="0"/>
          <w:sz w:val="30"/>
          <w:szCs w:val="30"/>
        </w:rPr>
        <w:t>附件一  供应商联系表</w:t>
      </w:r>
      <w:bookmarkEnd w:id="5"/>
    </w:p>
    <w:p>
      <w:pPr>
        <w:widowControl/>
        <w:shd w:val="clear" w:color="auto" w:fill="FFFFFF"/>
        <w:jc w:val="center"/>
        <w:rPr>
          <w:rFonts w:ascii="宋体" w:hAnsi="宋体" w:eastAsia="宋体" w:cs="宋体"/>
          <w:b/>
          <w:bCs/>
          <w:kern w:val="0"/>
          <w:sz w:val="30"/>
          <w:szCs w:val="30"/>
        </w:rPr>
      </w:pPr>
      <w:r>
        <w:rPr>
          <w:rFonts w:hint="eastAsia" w:ascii="宋体" w:hAnsi="宋体" w:eastAsia="宋体" w:cs="宋体"/>
          <w:b/>
          <w:bCs/>
          <w:kern w:val="0"/>
          <w:sz w:val="30"/>
          <w:szCs w:val="30"/>
        </w:rPr>
        <w:t>供应商联系表</w:t>
      </w:r>
    </w:p>
    <w:tbl>
      <w:tblPr>
        <w:tblStyle w:val="13"/>
        <w:tblW w:w="9953" w:type="dxa"/>
        <w:jc w:val="center"/>
        <w:tblLayout w:type="fixed"/>
        <w:tblCellMar>
          <w:top w:w="0" w:type="dxa"/>
          <w:left w:w="108" w:type="dxa"/>
          <w:bottom w:w="0" w:type="dxa"/>
          <w:right w:w="108" w:type="dxa"/>
        </w:tblCellMar>
      </w:tblPr>
      <w:tblGrid>
        <w:gridCol w:w="2410"/>
        <w:gridCol w:w="3669"/>
        <w:gridCol w:w="1328"/>
        <w:gridCol w:w="2546"/>
      </w:tblGrid>
      <w:tr>
        <w:tblPrEx>
          <w:tblCellMar>
            <w:top w:w="0" w:type="dxa"/>
            <w:left w:w="108" w:type="dxa"/>
            <w:bottom w:w="0" w:type="dxa"/>
            <w:right w:w="108" w:type="dxa"/>
          </w:tblCellMar>
        </w:tblPrEx>
        <w:trPr>
          <w:trHeight w:val="677" w:hRule="atLeast"/>
          <w:jc w:val="center"/>
        </w:trPr>
        <w:tc>
          <w:tcPr>
            <w:tcW w:w="2410" w:type="dxa"/>
            <w:tcBorders>
              <w:top w:val="single" w:color="auto" w:sz="12" w:space="0"/>
              <w:left w:val="single" w:color="auto" w:sz="12" w:space="0"/>
              <w:bottom w:val="single" w:color="auto" w:sz="2" w:space="0"/>
              <w:right w:val="single" w:color="auto" w:sz="2" w:space="0"/>
            </w:tcBorders>
            <w:vAlign w:val="center"/>
          </w:tcPr>
          <w:p>
            <w:pPr>
              <w:widowControl/>
              <w:overflowPunct w:val="0"/>
              <w:autoSpaceDE w:val="0"/>
              <w:autoSpaceDN w:val="0"/>
              <w:adjustRightInd w:val="0"/>
              <w:jc w:val="center"/>
              <w:textAlignment w:val="baseline"/>
              <w:rPr>
                <w:rFonts w:ascii="宋体" w:hAnsi="宋体" w:eastAsia="宋体" w:cs="Arial"/>
                <w:kern w:val="0"/>
                <w:sz w:val="30"/>
                <w:szCs w:val="30"/>
              </w:rPr>
            </w:pPr>
            <w:r>
              <w:rPr>
                <w:rFonts w:hint="eastAsia" w:ascii="宋体" w:hAnsi="宋体" w:eastAsia="宋体" w:cs="Arial"/>
                <w:kern w:val="0"/>
                <w:sz w:val="30"/>
                <w:szCs w:val="30"/>
              </w:rPr>
              <w:t>日期</w:t>
            </w:r>
          </w:p>
        </w:tc>
        <w:tc>
          <w:tcPr>
            <w:tcW w:w="7543" w:type="dxa"/>
            <w:gridSpan w:val="3"/>
            <w:tcBorders>
              <w:top w:val="single" w:color="auto" w:sz="12" w:space="0"/>
              <w:left w:val="single" w:color="auto" w:sz="2" w:space="0"/>
              <w:bottom w:val="single" w:color="auto" w:sz="2" w:space="0"/>
              <w:right w:val="single" w:color="auto" w:sz="12" w:space="0"/>
            </w:tcBorders>
            <w:vAlign w:val="center"/>
          </w:tcPr>
          <w:p>
            <w:pPr>
              <w:widowControl/>
              <w:overflowPunct w:val="0"/>
              <w:autoSpaceDE w:val="0"/>
              <w:autoSpaceDN w:val="0"/>
              <w:adjustRightInd w:val="0"/>
              <w:jc w:val="center"/>
              <w:textAlignment w:val="baseline"/>
              <w:rPr>
                <w:rFonts w:ascii="宋体" w:hAnsi="宋体" w:eastAsia="宋体" w:cs="Arial"/>
                <w:kern w:val="0"/>
                <w:sz w:val="30"/>
                <w:szCs w:val="30"/>
              </w:rPr>
            </w:pPr>
            <w:r>
              <w:rPr>
                <w:rFonts w:hint="eastAsia" w:ascii="宋体" w:hAnsi="宋体" w:eastAsia="宋体" w:cs="Arial"/>
                <w:kern w:val="0"/>
                <w:sz w:val="30"/>
                <w:szCs w:val="30"/>
              </w:rPr>
              <w:t>2023年    月   日</w:t>
            </w:r>
          </w:p>
        </w:tc>
      </w:tr>
      <w:tr>
        <w:tblPrEx>
          <w:tblCellMar>
            <w:top w:w="0" w:type="dxa"/>
            <w:left w:w="108" w:type="dxa"/>
            <w:bottom w:w="0" w:type="dxa"/>
            <w:right w:w="108" w:type="dxa"/>
          </w:tblCellMar>
        </w:tblPrEx>
        <w:trPr>
          <w:trHeight w:val="715" w:hRule="atLeast"/>
          <w:jc w:val="center"/>
        </w:trPr>
        <w:tc>
          <w:tcPr>
            <w:tcW w:w="2410" w:type="dxa"/>
            <w:tcBorders>
              <w:top w:val="single" w:color="auto" w:sz="2" w:space="0"/>
              <w:left w:val="single" w:color="auto" w:sz="12" w:space="0"/>
              <w:bottom w:val="single" w:color="auto" w:sz="2" w:space="0"/>
              <w:right w:val="single" w:color="auto" w:sz="2" w:space="0"/>
            </w:tcBorders>
            <w:vAlign w:val="center"/>
          </w:tcPr>
          <w:p>
            <w:pPr>
              <w:widowControl/>
              <w:overflowPunct w:val="0"/>
              <w:autoSpaceDE w:val="0"/>
              <w:autoSpaceDN w:val="0"/>
              <w:adjustRightInd w:val="0"/>
              <w:jc w:val="center"/>
              <w:textAlignment w:val="baseline"/>
              <w:rPr>
                <w:rFonts w:ascii="宋体" w:hAnsi="宋体" w:eastAsia="宋体" w:cs="Arial"/>
                <w:kern w:val="0"/>
                <w:sz w:val="30"/>
                <w:szCs w:val="30"/>
              </w:rPr>
            </w:pPr>
            <w:r>
              <w:rPr>
                <w:rFonts w:hint="eastAsia" w:ascii="宋体" w:hAnsi="宋体" w:eastAsia="宋体" w:cs="Arial"/>
                <w:kern w:val="0"/>
                <w:sz w:val="30"/>
                <w:szCs w:val="30"/>
              </w:rPr>
              <w:t>项目名称</w:t>
            </w:r>
          </w:p>
        </w:tc>
        <w:tc>
          <w:tcPr>
            <w:tcW w:w="7543" w:type="dxa"/>
            <w:gridSpan w:val="3"/>
            <w:tcBorders>
              <w:top w:val="single" w:color="auto" w:sz="2" w:space="0"/>
              <w:left w:val="single" w:color="auto" w:sz="2" w:space="0"/>
              <w:bottom w:val="single" w:color="auto" w:sz="2" w:space="0"/>
              <w:right w:val="single" w:color="auto" w:sz="12" w:space="0"/>
            </w:tcBorders>
            <w:vAlign w:val="center"/>
          </w:tcPr>
          <w:p>
            <w:pPr>
              <w:widowControl/>
              <w:overflowPunct w:val="0"/>
              <w:autoSpaceDE w:val="0"/>
              <w:autoSpaceDN w:val="0"/>
              <w:adjustRightInd w:val="0"/>
              <w:jc w:val="center"/>
              <w:textAlignment w:val="baseline"/>
              <w:rPr>
                <w:rFonts w:ascii="宋体" w:hAnsi="宋体" w:eastAsia="宋体" w:cs="宋体"/>
                <w:bCs/>
                <w:kern w:val="0"/>
                <w:sz w:val="30"/>
                <w:szCs w:val="30"/>
              </w:rPr>
            </w:pPr>
            <w:r>
              <w:rPr>
                <w:rFonts w:hint="eastAsia" w:ascii="宋体" w:hAnsi="宋体" w:eastAsia="宋体" w:cs="宋体"/>
                <w:bCs/>
                <w:kern w:val="0"/>
                <w:sz w:val="30"/>
                <w:szCs w:val="30"/>
              </w:rPr>
              <w:t>永嘉县人民检察院涉案暂扣款专户竞争性开户</w:t>
            </w:r>
          </w:p>
        </w:tc>
      </w:tr>
      <w:tr>
        <w:tblPrEx>
          <w:tblCellMar>
            <w:top w:w="0" w:type="dxa"/>
            <w:left w:w="108" w:type="dxa"/>
            <w:bottom w:w="0" w:type="dxa"/>
            <w:right w:w="108" w:type="dxa"/>
          </w:tblCellMar>
        </w:tblPrEx>
        <w:trPr>
          <w:trHeight w:val="724" w:hRule="atLeast"/>
          <w:jc w:val="center"/>
        </w:trPr>
        <w:tc>
          <w:tcPr>
            <w:tcW w:w="2410" w:type="dxa"/>
            <w:tcBorders>
              <w:top w:val="single" w:color="auto" w:sz="2" w:space="0"/>
              <w:left w:val="single" w:color="auto" w:sz="12" w:space="0"/>
              <w:bottom w:val="single" w:color="auto" w:sz="2" w:space="0"/>
              <w:right w:val="single" w:color="auto" w:sz="2" w:space="0"/>
            </w:tcBorders>
            <w:vAlign w:val="center"/>
          </w:tcPr>
          <w:p>
            <w:pPr>
              <w:widowControl/>
              <w:overflowPunct w:val="0"/>
              <w:autoSpaceDE w:val="0"/>
              <w:autoSpaceDN w:val="0"/>
              <w:adjustRightInd w:val="0"/>
              <w:jc w:val="center"/>
              <w:textAlignment w:val="baseline"/>
              <w:rPr>
                <w:rFonts w:ascii="宋体" w:hAnsi="宋体" w:eastAsia="宋体" w:cs="Arial"/>
                <w:kern w:val="0"/>
                <w:sz w:val="30"/>
                <w:szCs w:val="30"/>
              </w:rPr>
            </w:pPr>
            <w:r>
              <w:rPr>
                <w:rFonts w:hint="eastAsia" w:ascii="宋体" w:hAnsi="宋体" w:eastAsia="宋体" w:cs="Arial"/>
                <w:kern w:val="0"/>
                <w:sz w:val="30"/>
                <w:szCs w:val="30"/>
              </w:rPr>
              <w:t>招标编号</w:t>
            </w:r>
          </w:p>
        </w:tc>
        <w:tc>
          <w:tcPr>
            <w:tcW w:w="7543" w:type="dxa"/>
            <w:gridSpan w:val="3"/>
            <w:tcBorders>
              <w:top w:val="single" w:color="auto" w:sz="2" w:space="0"/>
              <w:left w:val="single" w:color="auto" w:sz="2" w:space="0"/>
              <w:bottom w:val="single" w:color="auto" w:sz="2" w:space="0"/>
              <w:right w:val="single" w:color="auto" w:sz="12" w:space="0"/>
            </w:tcBorders>
            <w:vAlign w:val="center"/>
          </w:tcPr>
          <w:p>
            <w:pPr>
              <w:widowControl/>
              <w:overflowPunct w:val="0"/>
              <w:autoSpaceDE w:val="0"/>
              <w:autoSpaceDN w:val="0"/>
              <w:adjustRightInd w:val="0"/>
              <w:jc w:val="center"/>
              <w:textAlignment w:val="baseline"/>
              <w:rPr>
                <w:rFonts w:ascii="宋体" w:hAnsi="宋体" w:eastAsia="宋体" w:cs="宋体"/>
                <w:bCs/>
                <w:kern w:val="0"/>
                <w:sz w:val="30"/>
                <w:szCs w:val="30"/>
              </w:rPr>
            </w:pPr>
            <w:r>
              <w:rPr>
                <w:rFonts w:hint="eastAsia" w:ascii="宋体" w:hAnsi="宋体" w:eastAsia="宋体" w:cs="宋体"/>
                <w:bCs/>
                <w:kern w:val="0"/>
                <w:sz w:val="30"/>
                <w:szCs w:val="30"/>
              </w:rPr>
              <w:t>YJJCY-20231020</w:t>
            </w:r>
          </w:p>
        </w:tc>
      </w:tr>
      <w:tr>
        <w:tblPrEx>
          <w:tblCellMar>
            <w:top w:w="0" w:type="dxa"/>
            <w:left w:w="108" w:type="dxa"/>
            <w:bottom w:w="0" w:type="dxa"/>
            <w:right w:w="108" w:type="dxa"/>
          </w:tblCellMar>
        </w:tblPrEx>
        <w:trPr>
          <w:trHeight w:val="701" w:hRule="atLeast"/>
          <w:jc w:val="center"/>
        </w:trPr>
        <w:tc>
          <w:tcPr>
            <w:tcW w:w="2410" w:type="dxa"/>
            <w:tcBorders>
              <w:top w:val="single" w:color="auto" w:sz="2" w:space="0"/>
              <w:left w:val="single" w:color="auto" w:sz="12" w:space="0"/>
              <w:bottom w:val="single" w:color="auto" w:sz="2" w:space="0"/>
              <w:right w:val="single" w:color="auto" w:sz="2" w:space="0"/>
            </w:tcBorders>
            <w:vAlign w:val="center"/>
          </w:tcPr>
          <w:p>
            <w:pPr>
              <w:widowControl/>
              <w:overflowPunct w:val="0"/>
              <w:autoSpaceDE w:val="0"/>
              <w:autoSpaceDN w:val="0"/>
              <w:adjustRightInd w:val="0"/>
              <w:jc w:val="center"/>
              <w:textAlignment w:val="baseline"/>
              <w:rPr>
                <w:rFonts w:ascii="宋体" w:hAnsi="宋体" w:eastAsia="宋体" w:cs="Arial"/>
                <w:kern w:val="0"/>
                <w:sz w:val="30"/>
                <w:szCs w:val="30"/>
              </w:rPr>
            </w:pPr>
            <w:r>
              <w:rPr>
                <w:rFonts w:hint="eastAsia" w:ascii="宋体" w:hAnsi="宋体" w:eastAsia="宋体" w:cs="Arial"/>
                <w:kern w:val="0"/>
                <w:sz w:val="30"/>
                <w:szCs w:val="30"/>
              </w:rPr>
              <w:t>投标申请单位名称</w:t>
            </w:r>
          </w:p>
        </w:tc>
        <w:tc>
          <w:tcPr>
            <w:tcW w:w="7543" w:type="dxa"/>
            <w:gridSpan w:val="3"/>
            <w:tcBorders>
              <w:top w:val="single" w:color="auto" w:sz="2" w:space="0"/>
              <w:left w:val="single" w:color="auto" w:sz="2" w:space="0"/>
              <w:bottom w:val="single" w:color="auto" w:sz="2" w:space="0"/>
              <w:right w:val="single" w:color="auto" w:sz="12" w:space="0"/>
            </w:tcBorders>
            <w:vAlign w:val="center"/>
          </w:tcPr>
          <w:p>
            <w:pPr>
              <w:widowControl/>
              <w:overflowPunct w:val="0"/>
              <w:autoSpaceDE w:val="0"/>
              <w:autoSpaceDN w:val="0"/>
              <w:adjustRightInd w:val="0"/>
              <w:jc w:val="center"/>
              <w:textAlignment w:val="baseline"/>
              <w:rPr>
                <w:rFonts w:ascii="宋体" w:hAnsi="宋体" w:eastAsia="宋体" w:cs="Arial"/>
                <w:kern w:val="0"/>
                <w:sz w:val="30"/>
                <w:szCs w:val="30"/>
              </w:rPr>
            </w:pPr>
          </w:p>
        </w:tc>
      </w:tr>
      <w:tr>
        <w:tblPrEx>
          <w:tblCellMar>
            <w:top w:w="0" w:type="dxa"/>
            <w:left w:w="108" w:type="dxa"/>
            <w:bottom w:w="0" w:type="dxa"/>
            <w:right w:w="108" w:type="dxa"/>
          </w:tblCellMar>
        </w:tblPrEx>
        <w:trPr>
          <w:trHeight w:val="739" w:hRule="atLeast"/>
          <w:jc w:val="center"/>
        </w:trPr>
        <w:tc>
          <w:tcPr>
            <w:tcW w:w="2410" w:type="dxa"/>
            <w:tcBorders>
              <w:top w:val="single" w:color="auto" w:sz="2" w:space="0"/>
              <w:left w:val="single" w:color="auto" w:sz="12" w:space="0"/>
              <w:bottom w:val="single" w:color="auto" w:sz="2" w:space="0"/>
              <w:right w:val="single" w:color="auto" w:sz="2" w:space="0"/>
            </w:tcBorders>
            <w:vAlign w:val="center"/>
          </w:tcPr>
          <w:p>
            <w:pPr>
              <w:widowControl/>
              <w:overflowPunct w:val="0"/>
              <w:autoSpaceDE w:val="0"/>
              <w:autoSpaceDN w:val="0"/>
              <w:adjustRightInd w:val="0"/>
              <w:jc w:val="center"/>
              <w:textAlignment w:val="baseline"/>
              <w:rPr>
                <w:rFonts w:ascii="宋体" w:hAnsi="宋体" w:eastAsia="宋体" w:cs="Arial"/>
                <w:kern w:val="0"/>
                <w:sz w:val="30"/>
                <w:szCs w:val="30"/>
              </w:rPr>
            </w:pPr>
            <w:r>
              <w:rPr>
                <w:rFonts w:hint="eastAsia" w:ascii="宋体" w:hAnsi="宋体" w:eastAsia="宋体" w:cs="Arial"/>
                <w:kern w:val="0"/>
                <w:sz w:val="30"/>
                <w:szCs w:val="30"/>
              </w:rPr>
              <w:t>项目联系人</w:t>
            </w:r>
          </w:p>
        </w:tc>
        <w:tc>
          <w:tcPr>
            <w:tcW w:w="3669" w:type="dxa"/>
            <w:tcBorders>
              <w:top w:val="single" w:color="auto" w:sz="2" w:space="0"/>
              <w:left w:val="single" w:color="auto" w:sz="2" w:space="0"/>
              <w:bottom w:val="single" w:color="auto" w:sz="2" w:space="0"/>
              <w:right w:val="single" w:color="auto" w:sz="2" w:space="0"/>
            </w:tcBorders>
            <w:vAlign w:val="center"/>
          </w:tcPr>
          <w:p>
            <w:pPr>
              <w:widowControl/>
              <w:overflowPunct w:val="0"/>
              <w:autoSpaceDE w:val="0"/>
              <w:autoSpaceDN w:val="0"/>
              <w:adjustRightInd w:val="0"/>
              <w:jc w:val="center"/>
              <w:textAlignment w:val="baseline"/>
              <w:rPr>
                <w:rFonts w:ascii="宋体" w:hAnsi="宋体" w:eastAsia="宋体" w:cs="Arial"/>
                <w:kern w:val="0"/>
                <w:sz w:val="30"/>
                <w:szCs w:val="30"/>
              </w:rPr>
            </w:pPr>
          </w:p>
        </w:tc>
        <w:tc>
          <w:tcPr>
            <w:tcW w:w="1328" w:type="dxa"/>
            <w:tcBorders>
              <w:top w:val="single" w:color="auto" w:sz="2" w:space="0"/>
              <w:left w:val="single" w:color="auto" w:sz="2" w:space="0"/>
              <w:bottom w:val="single" w:color="auto" w:sz="2" w:space="0"/>
              <w:right w:val="single" w:color="auto" w:sz="2" w:space="0"/>
            </w:tcBorders>
            <w:vAlign w:val="center"/>
          </w:tcPr>
          <w:p>
            <w:pPr>
              <w:widowControl/>
              <w:overflowPunct w:val="0"/>
              <w:autoSpaceDE w:val="0"/>
              <w:autoSpaceDN w:val="0"/>
              <w:adjustRightInd w:val="0"/>
              <w:jc w:val="center"/>
              <w:textAlignment w:val="baseline"/>
              <w:rPr>
                <w:rFonts w:ascii="宋体" w:hAnsi="宋体" w:eastAsia="宋体" w:cs="Arial"/>
                <w:kern w:val="0"/>
                <w:sz w:val="30"/>
                <w:szCs w:val="30"/>
              </w:rPr>
            </w:pPr>
            <w:r>
              <w:rPr>
                <w:rFonts w:hint="eastAsia" w:ascii="宋体" w:hAnsi="宋体" w:eastAsia="宋体" w:cs="Arial"/>
                <w:kern w:val="0"/>
                <w:sz w:val="30"/>
                <w:szCs w:val="30"/>
              </w:rPr>
              <w:t>手机</w:t>
            </w:r>
          </w:p>
        </w:tc>
        <w:tc>
          <w:tcPr>
            <w:tcW w:w="2546" w:type="dxa"/>
            <w:tcBorders>
              <w:top w:val="single" w:color="auto" w:sz="2" w:space="0"/>
              <w:left w:val="single" w:color="auto" w:sz="2" w:space="0"/>
              <w:bottom w:val="single" w:color="auto" w:sz="2" w:space="0"/>
              <w:right w:val="single" w:color="auto" w:sz="12" w:space="0"/>
            </w:tcBorders>
            <w:vAlign w:val="center"/>
          </w:tcPr>
          <w:p>
            <w:pPr>
              <w:widowControl/>
              <w:overflowPunct w:val="0"/>
              <w:autoSpaceDE w:val="0"/>
              <w:autoSpaceDN w:val="0"/>
              <w:adjustRightInd w:val="0"/>
              <w:jc w:val="center"/>
              <w:textAlignment w:val="baseline"/>
              <w:rPr>
                <w:rFonts w:ascii="宋体" w:hAnsi="宋体" w:eastAsia="宋体" w:cs="Arial"/>
                <w:kern w:val="0"/>
                <w:sz w:val="30"/>
                <w:szCs w:val="30"/>
              </w:rPr>
            </w:pPr>
          </w:p>
        </w:tc>
      </w:tr>
      <w:tr>
        <w:tblPrEx>
          <w:tblCellMar>
            <w:top w:w="0" w:type="dxa"/>
            <w:left w:w="108" w:type="dxa"/>
            <w:bottom w:w="0" w:type="dxa"/>
            <w:right w:w="108" w:type="dxa"/>
          </w:tblCellMar>
        </w:tblPrEx>
        <w:trPr>
          <w:trHeight w:val="701" w:hRule="atLeast"/>
          <w:jc w:val="center"/>
        </w:trPr>
        <w:tc>
          <w:tcPr>
            <w:tcW w:w="2410" w:type="dxa"/>
            <w:tcBorders>
              <w:top w:val="single" w:color="auto" w:sz="2" w:space="0"/>
              <w:left w:val="single" w:color="auto" w:sz="12" w:space="0"/>
              <w:bottom w:val="single" w:color="auto" w:sz="2" w:space="0"/>
              <w:right w:val="single" w:color="auto" w:sz="2" w:space="0"/>
            </w:tcBorders>
            <w:vAlign w:val="center"/>
          </w:tcPr>
          <w:p>
            <w:pPr>
              <w:widowControl/>
              <w:overflowPunct w:val="0"/>
              <w:autoSpaceDE w:val="0"/>
              <w:autoSpaceDN w:val="0"/>
              <w:adjustRightInd w:val="0"/>
              <w:jc w:val="center"/>
              <w:textAlignment w:val="baseline"/>
              <w:rPr>
                <w:rFonts w:ascii="宋体" w:hAnsi="宋体" w:eastAsia="宋体" w:cs="Arial"/>
                <w:kern w:val="0"/>
                <w:sz w:val="30"/>
                <w:szCs w:val="30"/>
              </w:rPr>
            </w:pPr>
            <w:r>
              <w:rPr>
                <w:rFonts w:hint="eastAsia" w:ascii="宋体" w:hAnsi="宋体" w:eastAsia="宋体" w:cs="Arial"/>
                <w:kern w:val="0"/>
                <w:sz w:val="30"/>
                <w:szCs w:val="30"/>
              </w:rPr>
              <w:t>联系电话</w:t>
            </w:r>
          </w:p>
        </w:tc>
        <w:tc>
          <w:tcPr>
            <w:tcW w:w="3669" w:type="dxa"/>
            <w:tcBorders>
              <w:top w:val="single" w:color="auto" w:sz="2" w:space="0"/>
              <w:left w:val="single" w:color="auto" w:sz="2" w:space="0"/>
              <w:bottom w:val="single" w:color="auto" w:sz="2" w:space="0"/>
              <w:right w:val="single" w:color="auto" w:sz="2" w:space="0"/>
            </w:tcBorders>
            <w:vAlign w:val="center"/>
          </w:tcPr>
          <w:p>
            <w:pPr>
              <w:widowControl/>
              <w:overflowPunct w:val="0"/>
              <w:autoSpaceDE w:val="0"/>
              <w:autoSpaceDN w:val="0"/>
              <w:adjustRightInd w:val="0"/>
              <w:jc w:val="center"/>
              <w:textAlignment w:val="baseline"/>
              <w:rPr>
                <w:rFonts w:ascii="宋体" w:hAnsi="宋体" w:eastAsia="宋体" w:cs="Arial"/>
                <w:kern w:val="0"/>
                <w:sz w:val="30"/>
                <w:szCs w:val="30"/>
              </w:rPr>
            </w:pPr>
          </w:p>
        </w:tc>
        <w:tc>
          <w:tcPr>
            <w:tcW w:w="1328" w:type="dxa"/>
            <w:tcBorders>
              <w:top w:val="single" w:color="auto" w:sz="2" w:space="0"/>
              <w:left w:val="single" w:color="auto" w:sz="2" w:space="0"/>
              <w:bottom w:val="single" w:color="auto" w:sz="2" w:space="0"/>
              <w:right w:val="single" w:color="auto" w:sz="2" w:space="0"/>
            </w:tcBorders>
            <w:vAlign w:val="center"/>
          </w:tcPr>
          <w:p>
            <w:pPr>
              <w:widowControl/>
              <w:overflowPunct w:val="0"/>
              <w:autoSpaceDE w:val="0"/>
              <w:autoSpaceDN w:val="0"/>
              <w:adjustRightInd w:val="0"/>
              <w:jc w:val="center"/>
              <w:textAlignment w:val="baseline"/>
              <w:rPr>
                <w:rFonts w:ascii="宋体" w:hAnsi="宋体" w:eastAsia="宋体" w:cs="Arial"/>
                <w:kern w:val="0"/>
                <w:sz w:val="30"/>
                <w:szCs w:val="30"/>
              </w:rPr>
            </w:pPr>
            <w:r>
              <w:rPr>
                <w:rFonts w:hint="eastAsia" w:ascii="宋体" w:hAnsi="宋体" w:eastAsia="宋体" w:cs="Arial"/>
                <w:kern w:val="0"/>
                <w:sz w:val="30"/>
                <w:szCs w:val="30"/>
              </w:rPr>
              <w:t>传真</w:t>
            </w:r>
          </w:p>
        </w:tc>
        <w:tc>
          <w:tcPr>
            <w:tcW w:w="2546" w:type="dxa"/>
            <w:tcBorders>
              <w:top w:val="single" w:color="auto" w:sz="2" w:space="0"/>
              <w:left w:val="single" w:color="auto" w:sz="2" w:space="0"/>
              <w:bottom w:val="single" w:color="auto" w:sz="2" w:space="0"/>
              <w:right w:val="single" w:color="auto" w:sz="12" w:space="0"/>
            </w:tcBorders>
            <w:vAlign w:val="center"/>
          </w:tcPr>
          <w:p>
            <w:pPr>
              <w:widowControl/>
              <w:overflowPunct w:val="0"/>
              <w:autoSpaceDE w:val="0"/>
              <w:autoSpaceDN w:val="0"/>
              <w:adjustRightInd w:val="0"/>
              <w:jc w:val="center"/>
              <w:textAlignment w:val="baseline"/>
              <w:rPr>
                <w:rFonts w:ascii="宋体" w:hAnsi="宋体" w:eastAsia="宋体" w:cs="Arial"/>
                <w:kern w:val="0"/>
                <w:sz w:val="30"/>
                <w:szCs w:val="30"/>
              </w:rPr>
            </w:pPr>
          </w:p>
        </w:tc>
      </w:tr>
      <w:tr>
        <w:tblPrEx>
          <w:tblCellMar>
            <w:top w:w="0" w:type="dxa"/>
            <w:left w:w="108" w:type="dxa"/>
            <w:bottom w:w="0" w:type="dxa"/>
            <w:right w:w="108" w:type="dxa"/>
          </w:tblCellMar>
        </w:tblPrEx>
        <w:trPr>
          <w:trHeight w:val="665" w:hRule="atLeast"/>
          <w:jc w:val="center"/>
        </w:trPr>
        <w:tc>
          <w:tcPr>
            <w:tcW w:w="2410" w:type="dxa"/>
            <w:tcBorders>
              <w:top w:val="single" w:color="auto" w:sz="2" w:space="0"/>
              <w:left w:val="single" w:color="auto" w:sz="12" w:space="0"/>
              <w:bottom w:val="single" w:color="auto" w:sz="2" w:space="0"/>
              <w:right w:val="single" w:color="auto" w:sz="2" w:space="0"/>
            </w:tcBorders>
            <w:vAlign w:val="center"/>
          </w:tcPr>
          <w:p>
            <w:pPr>
              <w:widowControl/>
              <w:overflowPunct w:val="0"/>
              <w:autoSpaceDE w:val="0"/>
              <w:autoSpaceDN w:val="0"/>
              <w:adjustRightInd w:val="0"/>
              <w:jc w:val="center"/>
              <w:textAlignment w:val="baseline"/>
              <w:rPr>
                <w:rFonts w:ascii="宋体" w:hAnsi="宋体" w:eastAsia="宋体" w:cs="Arial"/>
                <w:kern w:val="0"/>
                <w:sz w:val="30"/>
                <w:szCs w:val="30"/>
              </w:rPr>
            </w:pPr>
            <w:r>
              <w:rPr>
                <w:rFonts w:hint="eastAsia" w:ascii="宋体" w:hAnsi="宋体" w:eastAsia="宋体" w:cs="Arial"/>
                <w:kern w:val="0"/>
                <w:sz w:val="30"/>
                <w:szCs w:val="30"/>
              </w:rPr>
              <w:t>E-mail</w:t>
            </w:r>
          </w:p>
        </w:tc>
        <w:tc>
          <w:tcPr>
            <w:tcW w:w="3669" w:type="dxa"/>
            <w:tcBorders>
              <w:top w:val="single" w:color="auto" w:sz="2" w:space="0"/>
              <w:left w:val="single" w:color="auto" w:sz="2" w:space="0"/>
              <w:bottom w:val="single" w:color="auto" w:sz="2" w:space="0"/>
              <w:right w:val="single" w:color="auto" w:sz="2" w:space="0"/>
            </w:tcBorders>
            <w:vAlign w:val="center"/>
          </w:tcPr>
          <w:p>
            <w:pPr>
              <w:widowControl/>
              <w:overflowPunct w:val="0"/>
              <w:autoSpaceDE w:val="0"/>
              <w:autoSpaceDN w:val="0"/>
              <w:adjustRightInd w:val="0"/>
              <w:jc w:val="center"/>
              <w:textAlignment w:val="baseline"/>
              <w:rPr>
                <w:rFonts w:ascii="宋体" w:hAnsi="宋体" w:eastAsia="宋体" w:cs="Arial"/>
                <w:kern w:val="0"/>
                <w:sz w:val="30"/>
                <w:szCs w:val="30"/>
              </w:rPr>
            </w:pPr>
          </w:p>
        </w:tc>
        <w:tc>
          <w:tcPr>
            <w:tcW w:w="1328" w:type="dxa"/>
            <w:tcBorders>
              <w:top w:val="single" w:color="auto" w:sz="2" w:space="0"/>
              <w:left w:val="single" w:color="auto" w:sz="2" w:space="0"/>
              <w:bottom w:val="single" w:color="auto" w:sz="2" w:space="0"/>
              <w:right w:val="single" w:color="auto" w:sz="2" w:space="0"/>
            </w:tcBorders>
            <w:vAlign w:val="center"/>
          </w:tcPr>
          <w:p>
            <w:pPr>
              <w:widowControl/>
              <w:overflowPunct w:val="0"/>
              <w:autoSpaceDE w:val="0"/>
              <w:autoSpaceDN w:val="0"/>
              <w:adjustRightInd w:val="0"/>
              <w:textAlignment w:val="baseline"/>
              <w:rPr>
                <w:rFonts w:ascii="宋体" w:hAnsi="宋体" w:eastAsia="宋体" w:cs="Arial"/>
                <w:kern w:val="0"/>
                <w:sz w:val="30"/>
                <w:szCs w:val="30"/>
              </w:rPr>
            </w:pPr>
            <w:r>
              <w:rPr>
                <w:rFonts w:hint="eastAsia" w:ascii="宋体" w:hAnsi="宋体" w:eastAsia="宋体" w:cs="Arial"/>
                <w:kern w:val="0"/>
                <w:sz w:val="30"/>
                <w:szCs w:val="30"/>
              </w:rPr>
              <w:t>邮政编码</w:t>
            </w:r>
          </w:p>
        </w:tc>
        <w:tc>
          <w:tcPr>
            <w:tcW w:w="2546" w:type="dxa"/>
            <w:tcBorders>
              <w:top w:val="single" w:color="auto" w:sz="2" w:space="0"/>
              <w:left w:val="single" w:color="auto" w:sz="2" w:space="0"/>
              <w:bottom w:val="single" w:color="auto" w:sz="2" w:space="0"/>
              <w:right w:val="single" w:color="auto" w:sz="12" w:space="0"/>
            </w:tcBorders>
            <w:vAlign w:val="center"/>
          </w:tcPr>
          <w:p>
            <w:pPr>
              <w:widowControl/>
              <w:overflowPunct w:val="0"/>
              <w:autoSpaceDE w:val="0"/>
              <w:autoSpaceDN w:val="0"/>
              <w:adjustRightInd w:val="0"/>
              <w:jc w:val="center"/>
              <w:textAlignment w:val="baseline"/>
              <w:rPr>
                <w:rFonts w:ascii="宋体" w:hAnsi="宋体" w:eastAsia="宋体" w:cs="Arial"/>
                <w:kern w:val="0"/>
                <w:sz w:val="30"/>
                <w:szCs w:val="30"/>
              </w:rPr>
            </w:pPr>
          </w:p>
        </w:tc>
      </w:tr>
      <w:tr>
        <w:tblPrEx>
          <w:tblCellMar>
            <w:top w:w="0" w:type="dxa"/>
            <w:left w:w="108" w:type="dxa"/>
            <w:bottom w:w="0" w:type="dxa"/>
            <w:right w:w="108" w:type="dxa"/>
          </w:tblCellMar>
        </w:tblPrEx>
        <w:trPr>
          <w:trHeight w:val="629" w:hRule="atLeast"/>
          <w:jc w:val="center"/>
        </w:trPr>
        <w:tc>
          <w:tcPr>
            <w:tcW w:w="2410" w:type="dxa"/>
            <w:tcBorders>
              <w:top w:val="single" w:color="auto" w:sz="2" w:space="0"/>
              <w:left w:val="single" w:color="auto" w:sz="12" w:space="0"/>
              <w:bottom w:val="single" w:color="auto" w:sz="12" w:space="0"/>
              <w:right w:val="single" w:color="auto" w:sz="2" w:space="0"/>
            </w:tcBorders>
            <w:vAlign w:val="center"/>
          </w:tcPr>
          <w:p>
            <w:pPr>
              <w:widowControl/>
              <w:overflowPunct w:val="0"/>
              <w:autoSpaceDE w:val="0"/>
              <w:autoSpaceDN w:val="0"/>
              <w:adjustRightInd w:val="0"/>
              <w:jc w:val="center"/>
              <w:textAlignment w:val="baseline"/>
              <w:rPr>
                <w:rFonts w:ascii="宋体" w:hAnsi="宋体" w:eastAsia="宋体" w:cs="Arial"/>
                <w:kern w:val="0"/>
                <w:sz w:val="30"/>
                <w:szCs w:val="30"/>
              </w:rPr>
            </w:pPr>
            <w:r>
              <w:rPr>
                <w:rFonts w:hint="eastAsia" w:ascii="宋体" w:hAnsi="宋体" w:eastAsia="宋体" w:cs="Arial"/>
                <w:kern w:val="0"/>
                <w:sz w:val="30"/>
                <w:szCs w:val="30"/>
              </w:rPr>
              <w:t>通信地址</w:t>
            </w:r>
          </w:p>
        </w:tc>
        <w:tc>
          <w:tcPr>
            <w:tcW w:w="7543" w:type="dxa"/>
            <w:gridSpan w:val="3"/>
            <w:tcBorders>
              <w:top w:val="single" w:color="auto" w:sz="2" w:space="0"/>
              <w:left w:val="single" w:color="auto" w:sz="2" w:space="0"/>
              <w:bottom w:val="single" w:color="auto" w:sz="12" w:space="0"/>
              <w:right w:val="single" w:color="auto" w:sz="12" w:space="0"/>
            </w:tcBorders>
            <w:vAlign w:val="center"/>
          </w:tcPr>
          <w:p>
            <w:pPr>
              <w:widowControl/>
              <w:overflowPunct w:val="0"/>
              <w:autoSpaceDE w:val="0"/>
              <w:autoSpaceDN w:val="0"/>
              <w:adjustRightInd w:val="0"/>
              <w:jc w:val="center"/>
              <w:textAlignment w:val="baseline"/>
              <w:rPr>
                <w:rFonts w:ascii="宋体" w:hAnsi="宋体" w:eastAsia="宋体" w:cs="Arial"/>
                <w:kern w:val="0"/>
                <w:sz w:val="30"/>
                <w:szCs w:val="30"/>
              </w:rPr>
            </w:pPr>
          </w:p>
        </w:tc>
      </w:tr>
      <w:tr>
        <w:tblPrEx>
          <w:tblCellMar>
            <w:top w:w="0" w:type="dxa"/>
            <w:left w:w="108" w:type="dxa"/>
            <w:bottom w:w="0" w:type="dxa"/>
            <w:right w:w="108" w:type="dxa"/>
          </w:tblCellMar>
        </w:tblPrEx>
        <w:trPr>
          <w:trHeight w:val="1639" w:hRule="atLeast"/>
          <w:jc w:val="center"/>
        </w:trPr>
        <w:tc>
          <w:tcPr>
            <w:tcW w:w="2410" w:type="dxa"/>
            <w:tcBorders>
              <w:top w:val="single" w:color="auto" w:sz="2" w:space="0"/>
              <w:left w:val="single" w:color="auto" w:sz="12" w:space="0"/>
              <w:bottom w:val="single" w:color="auto" w:sz="12" w:space="0"/>
              <w:right w:val="single" w:color="auto" w:sz="2" w:space="0"/>
            </w:tcBorders>
            <w:vAlign w:val="center"/>
          </w:tcPr>
          <w:p>
            <w:pPr>
              <w:widowControl/>
              <w:overflowPunct w:val="0"/>
              <w:autoSpaceDE w:val="0"/>
              <w:autoSpaceDN w:val="0"/>
              <w:adjustRightInd w:val="0"/>
              <w:jc w:val="center"/>
              <w:textAlignment w:val="baseline"/>
              <w:rPr>
                <w:rFonts w:ascii="宋体" w:hAnsi="宋体" w:eastAsia="宋体" w:cs="Arial"/>
                <w:kern w:val="0"/>
                <w:sz w:val="30"/>
                <w:szCs w:val="30"/>
              </w:rPr>
            </w:pPr>
            <w:r>
              <w:rPr>
                <w:rFonts w:hint="eastAsia" w:ascii="宋体" w:hAnsi="宋体" w:eastAsia="宋体" w:cs="Arial"/>
                <w:kern w:val="0"/>
                <w:sz w:val="30"/>
                <w:szCs w:val="30"/>
              </w:rPr>
              <w:t>招标文件领取确认</w:t>
            </w:r>
          </w:p>
        </w:tc>
        <w:tc>
          <w:tcPr>
            <w:tcW w:w="7543" w:type="dxa"/>
            <w:gridSpan w:val="3"/>
            <w:tcBorders>
              <w:top w:val="single" w:color="auto" w:sz="2" w:space="0"/>
              <w:left w:val="single" w:color="auto" w:sz="2" w:space="0"/>
              <w:bottom w:val="single" w:color="auto" w:sz="12" w:space="0"/>
              <w:right w:val="single" w:color="auto" w:sz="12" w:space="0"/>
            </w:tcBorders>
            <w:vAlign w:val="center"/>
          </w:tcPr>
          <w:p>
            <w:pPr>
              <w:widowControl/>
              <w:overflowPunct w:val="0"/>
              <w:autoSpaceDE w:val="0"/>
              <w:autoSpaceDN w:val="0"/>
              <w:adjustRightInd w:val="0"/>
              <w:textAlignment w:val="baseline"/>
              <w:rPr>
                <w:rFonts w:ascii="宋体" w:hAnsi="宋体" w:eastAsia="宋体" w:cs="Arial"/>
                <w:kern w:val="0"/>
                <w:sz w:val="30"/>
                <w:szCs w:val="30"/>
              </w:rPr>
            </w:pPr>
            <w:r>
              <w:rPr>
                <w:rFonts w:hint="eastAsia" w:ascii="宋体" w:hAnsi="宋体" w:eastAsia="宋体" w:cs="Arial"/>
                <w:kern w:val="0"/>
                <w:sz w:val="30"/>
                <w:szCs w:val="30"/>
              </w:rPr>
              <w:t>我单位已下载本次采购项目招标文件。同意按招标（采购）文件要求参加投标（报价）并提交资料。</w:t>
            </w:r>
          </w:p>
          <w:p>
            <w:pPr>
              <w:widowControl/>
              <w:overflowPunct w:val="0"/>
              <w:autoSpaceDE w:val="0"/>
              <w:autoSpaceDN w:val="0"/>
              <w:adjustRightInd w:val="0"/>
              <w:textAlignment w:val="baseline"/>
              <w:rPr>
                <w:rFonts w:ascii="宋体" w:hAnsi="宋体" w:eastAsia="宋体" w:cs="Arial"/>
                <w:kern w:val="0"/>
                <w:sz w:val="30"/>
                <w:szCs w:val="30"/>
              </w:rPr>
            </w:pPr>
          </w:p>
          <w:p>
            <w:pPr>
              <w:widowControl/>
              <w:overflowPunct w:val="0"/>
              <w:autoSpaceDE w:val="0"/>
              <w:autoSpaceDN w:val="0"/>
              <w:adjustRightInd w:val="0"/>
              <w:ind w:firstLine="3090" w:firstLineChars="1030"/>
              <w:textAlignment w:val="baseline"/>
              <w:rPr>
                <w:rFonts w:ascii="宋体" w:hAnsi="宋体" w:eastAsia="宋体" w:cs="Arial"/>
                <w:kern w:val="0"/>
                <w:sz w:val="30"/>
                <w:szCs w:val="30"/>
              </w:rPr>
            </w:pPr>
            <w:r>
              <w:rPr>
                <w:rFonts w:hint="eastAsia" w:ascii="宋体" w:hAnsi="宋体" w:eastAsia="宋体" w:cs="Arial"/>
                <w:kern w:val="0"/>
                <w:sz w:val="30"/>
                <w:szCs w:val="30"/>
              </w:rPr>
              <w:t>投标申请单位全称（公章）</w:t>
            </w:r>
          </w:p>
          <w:p>
            <w:pPr>
              <w:widowControl/>
              <w:overflowPunct w:val="0"/>
              <w:autoSpaceDE w:val="0"/>
              <w:autoSpaceDN w:val="0"/>
              <w:adjustRightInd w:val="0"/>
              <w:ind w:firstLine="3090" w:firstLineChars="1030"/>
              <w:textAlignment w:val="baseline"/>
              <w:rPr>
                <w:rFonts w:ascii="宋体" w:hAnsi="宋体" w:eastAsia="宋体" w:cs="Arial"/>
                <w:kern w:val="0"/>
                <w:sz w:val="30"/>
                <w:szCs w:val="30"/>
              </w:rPr>
            </w:pPr>
          </w:p>
          <w:p>
            <w:pPr>
              <w:widowControl/>
              <w:overflowPunct w:val="0"/>
              <w:autoSpaceDE w:val="0"/>
              <w:autoSpaceDN w:val="0"/>
              <w:adjustRightInd w:val="0"/>
              <w:ind w:firstLine="3090" w:firstLineChars="1030"/>
              <w:textAlignment w:val="baseline"/>
              <w:rPr>
                <w:rFonts w:ascii="宋体" w:hAnsi="宋体" w:eastAsia="宋体" w:cs="Arial"/>
                <w:kern w:val="0"/>
                <w:sz w:val="30"/>
                <w:szCs w:val="30"/>
              </w:rPr>
            </w:pPr>
            <w:r>
              <w:rPr>
                <w:rFonts w:hint="eastAsia" w:ascii="宋体" w:hAnsi="宋体" w:eastAsia="宋体" w:cs="Arial"/>
                <w:kern w:val="0"/>
                <w:sz w:val="30"/>
                <w:szCs w:val="30"/>
              </w:rPr>
              <w:t>投标申请单位项目联系人签字</w:t>
            </w:r>
          </w:p>
        </w:tc>
      </w:tr>
    </w:tbl>
    <w:p>
      <w:pPr>
        <w:widowControl/>
        <w:overflowPunct w:val="0"/>
        <w:autoSpaceDE w:val="0"/>
        <w:autoSpaceDN w:val="0"/>
        <w:adjustRightInd w:val="0"/>
        <w:spacing w:before="156" w:beforeLines="50"/>
        <w:textAlignment w:val="baseline"/>
        <w:rPr>
          <w:rFonts w:ascii="宋体" w:hAnsi="宋体" w:eastAsia="宋体" w:cs="Arial"/>
          <w:kern w:val="0"/>
          <w:sz w:val="30"/>
          <w:szCs w:val="30"/>
        </w:rPr>
      </w:pPr>
    </w:p>
    <w:p>
      <w:pPr>
        <w:widowControl/>
        <w:overflowPunct w:val="0"/>
        <w:autoSpaceDE w:val="0"/>
        <w:autoSpaceDN w:val="0"/>
        <w:adjustRightInd w:val="0"/>
        <w:spacing w:line="450" w:lineRule="atLeast"/>
        <w:textAlignment w:val="baseline"/>
        <w:outlineLvl w:val="0"/>
        <w:rPr>
          <w:rFonts w:ascii="宋体" w:hAnsi="宋体" w:eastAsia="宋体" w:cs="Times New Roman"/>
          <w:b/>
          <w:kern w:val="0"/>
          <w:sz w:val="30"/>
          <w:szCs w:val="30"/>
        </w:rPr>
      </w:pPr>
    </w:p>
    <w:p>
      <w:pPr>
        <w:widowControl/>
        <w:overflowPunct w:val="0"/>
        <w:autoSpaceDE w:val="0"/>
        <w:autoSpaceDN w:val="0"/>
        <w:adjustRightInd w:val="0"/>
        <w:spacing w:line="450" w:lineRule="atLeast"/>
        <w:textAlignment w:val="baseline"/>
        <w:outlineLvl w:val="0"/>
        <w:rPr>
          <w:rFonts w:ascii="宋体" w:hAnsi="宋体" w:eastAsia="宋体" w:cs="Times New Roman"/>
          <w:b/>
          <w:kern w:val="0"/>
          <w:sz w:val="30"/>
          <w:szCs w:val="30"/>
        </w:rPr>
      </w:pPr>
      <w:r>
        <w:rPr>
          <w:rFonts w:hint="eastAsia" w:ascii="宋体" w:hAnsi="宋体" w:eastAsia="宋体" w:cs="Times New Roman"/>
          <w:b/>
          <w:kern w:val="0"/>
          <w:sz w:val="30"/>
          <w:szCs w:val="30"/>
        </w:rPr>
        <w:br w:type="page"/>
      </w:r>
      <w:bookmarkStart w:id="6" w:name="_Toc7534"/>
      <w:r>
        <w:rPr>
          <w:rFonts w:hint="eastAsia" w:ascii="宋体" w:hAnsi="宋体" w:eastAsia="宋体" w:cs="Times New Roman"/>
          <w:b/>
          <w:kern w:val="0"/>
          <w:sz w:val="30"/>
          <w:szCs w:val="30"/>
        </w:rPr>
        <w:t>附件二  开标一览表</w:t>
      </w:r>
      <w:bookmarkEnd w:id="6"/>
    </w:p>
    <w:p>
      <w:pPr>
        <w:widowControl/>
        <w:shd w:val="clear" w:color="auto" w:fill="FFFFFF"/>
        <w:jc w:val="center"/>
        <w:rPr>
          <w:rFonts w:ascii="宋体" w:hAnsi="宋体" w:eastAsia="宋体" w:cs="宋体"/>
          <w:kern w:val="0"/>
          <w:sz w:val="30"/>
          <w:szCs w:val="30"/>
        </w:rPr>
      </w:pPr>
      <w:r>
        <w:rPr>
          <w:rFonts w:hint="eastAsia" w:ascii="宋体" w:hAnsi="宋体" w:eastAsia="宋体" w:cs="宋体"/>
          <w:b/>
          <w:bCs/>
          <w:kern w:val="0"/>
          <w:sz w:val="30"/>
          <w:szCs w:val="30"/>
        </w:rPr>
        <w:t>开标一览表</w:t>
      </w:r>
    </w:p>
    <w:p>
      <w:pPr>
        <w:widowControl/>
        <w:shd w:val="clear" w:color="auto" w:fill="FFFFFF"/>
        <w:jc w:val="left"/>
        <w:rPr>
          <w:rFonts w:ascii="宋体" w:hAnsi="宋体" w:eastAsia="宋体" w:cs="宋体"/>
          <w:kern w:val="0"/>
          <w:sz w:val="30"/>
          <w:szCs w:val="30"/>
        </w:rPr>
      </w:pPr>
      <w:r>
        <w:rPr>
          <w:rFonts w:hint="eastAsia" w:ascii="宋体" w:hAnsi="宋体" w:eastAsia="宋体" w:cs="宋体"/>
          <w:kern w:val="0"/>
          <w:sz w:val="30"/>
          <w:szCs w:val="30"/>
        </w:rPr>
        <w:t> </w:t>
      </w:r>
    </w:p>
    <w:p>
      <w:pPr>
        <w:widowControl/>
        <w:shd w:val="clear" w:color="auto" w:fill="FFFFFF"/>
        <w:jc w:val="left"/>
        <w:rPr>
          <w:rFonts w:ascii="宋体" w:hAnsi="宋体" w:eastAsia="宋体" w:cs="宋体"/>
          <w:kern w:val="0"/>
          <w:sz w:val="30"/>
          <w:szCs w:val="30"/>
        </w:rPr>
      </w:pPr>
      <w:r>
        <w:rPr>
          <w:rFonts w:hint="eastAsia" w:ascii="宋体" w:hAnsi="宋体" w:eastAsia="宋体" w:cs="宋体"/>
          <w:kern w:val="0"/>
          <w:sz w:val="30"/>
          <w:szCs w:val="30"/>
        </w:rPr>
        <w:t>永嘉县人民检察院：</w:t>
      </w:r>
    </w:p>
    <w:p>
      <w:pPr>
        <w:widowControl/>
        <w:shd w:val="clear" w:color="auto" w:fill="FFFFFF"/>
        <w:jc w:val="left"/>
        <w:rPr>
          <w:rFonts w:ascii="宋体" w:hAnsi="宋体" w:eastAsia="宋体" w:cs="宋体"/>
          <w:kern w:val="0"/>
          <w:sz w:val="30"/>
          <w:szCs w:val="30"/>
        </w:rPr>
      </w:pPr>
    </w:p>
    <w:p>
      <w:pPr>
        <w:widowControl/>
        <w:shd w:val="clear" w:color="auto" w:fill="FFFFFF"/>
        <w:spacing w:line="360" w:lineRule="auto"/>
        <w:ind w:firstLine="584"/>
        <w:jc w:val="left"/>
        <w:rPr>
          <w:rFonts w:ascii="宋体" w:hAnsi="宋体" w:eastAsia="宋体" w:cs="宋体"/>
          <w:kern w:val="0"/>
          <w:sz w:val="30"/>
          <w:szCs w:val="30"/>
        </w:rPr>
      </w:pPr>
      <w:r>
        <w:rPr>
          <w:rFonts w:hint="eastAsia" w:ascii="宋体" w:hAnsi="宋体" w:eastAsia="宋体" w:cs="宋体"/>
          <w:kern w:val="0"/>
          <w:sz w:val="30"/>
          <w:szCs w:val="30"/>
        </w:rPr>
        <w:t>我单位郑重承诺：本投标文件由我单位主要负责人或授权人填写，内容真实、准确完整，愿承担一切责任。</w:t>
      </w:r>
    </w:p>
    <w:p>
      <w:pPr>
        <w:widowControl/>
        <w:shd w:val="clear" w:color="auto" w:fill="FFFFFF"/>
        <w:spacing w:line="360" w:lineRule="auto"/>
        <w:jc w:val="left"/>
        <w:rPr>
          <w:rFonts w:ascii="宋体" w:hAnsi="宋体" w:eastAsia="宋体" w:cs="宋体"/>
          <w:kern w:val="0"/>
          <w:sz w:val="30"/>
          <w:szCs w:val="30"/>
        </w:rPr>
      </w:pPr>
      <w:r>
        <w:rPr>
          <w:rFonts w:hint="eastAsia" w:ascii="宋体" w:hAnsi="宋体" w:eastAsia="宋体" w:cs="宋体"/>
          <w:kern w:val="0"/>
          <w:sz w:val="30"/>
          <w:szCs w:val="30"/>
        </w:rPr>
        <w:t>项目名称：永嘉县人民检察院涉案暂扣款专户竞争性开户</w:t>
      </w:r>
    </w:p>
    <w:p>
      <w:pPr>
        <w:widowControl/>
        <w:shd w:val="clear" w:color="auto" w:fill="FFFFFF"/>
        <w:spacing w:line="360" w:lineRule="auto"/>
        <w:jc w:val="left"/>
        <w:rPr>
          <w:rFonts w:ascii="宋体" w:hAnsi="宋体" w:eastAsia="宋体" w:cs="宋体"/>
          <w:kern w:val="0"/>
          <w:sz w:val="30"/>
          <w:szCs w:val="30"/>
        </w:rPr>
      </w:pPr>
      <w:r>
        <w:rPr>
          <w:rFonts w:hint="eastAsia" w:ascii="宋体" w:hAnsi="宋体" w:eastAsia="宋体" w:cs="宋体"/>
          <w:kern w:val="0"/>
          <w:sz w:val="30"/>
          <w:szCs w:val="30"/>
        </w:rPr>
        <w:t>项目编号：YJJCY-20231020</w:t>
      </w:r>
    </w:p>
    <w:tbl>
      <w:tblPr>
        <w:tblStyle w:val="13"/>
        <w:tblW w:w="8835" w:type="dxa"/>
        <w:tblInd w:w="82" w:type="dxa"/>
        <w:shd w:val="clear" w:color="auto" w:fill="FFFFFF"/>
        <w:tblLayout w:type="fixed"/>
        <w:tblCellMar>
          <w:top w:w="0" w:type="dxa"/>
          <w:left w:w="108" w:type="dxa"/>
          <w:bottom w:w="0" w:type="dxa"/>
          <w:right w:w="108" w:type="dxa"/>
        </w:tblCellMar>
      </w:tblPr>
      <w:tblGrid>
        <w:gridCol w:w="6250"/>
        <w:gridCol w:w="2585"/>
      </w:tblGrid>
      <w:tr>
        <w:tblPrEx>
          <w:shd w:val="clear" w:color="auto" w:fill="FFFFFF"/>
          <w:tblCellMar>
            <w:top w:w="0" w:type="dxa"/>
            <w:left w:w="108" w:type="dxa"/>
            <w:bottom w:w="0" w:type="dxa"/>
            <w:right w:w="108" w:type="dxa"/>
          </w:tblCellMar>
        </w:tblPrEx>
        <w:trPr>
          <w:trHeight w:val="801" w:hRule="atLeast"/>
        </w:trPr>
        <w:tc>
          <w:tcPr>
            <w:tcW w:w="6250" w:type="dxa"/>
            <w:tcBorders>
              <w:top w:val="single" w:color="auto" w:sz="6" w:space="0"/>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line="360" w:lineRule="auto"/>
              <w:jc w:val="center"/>
              <w:rPr>
                <w:rFonts w:ascii="宋体" w:hAnsi="宋体" w:eastAsia="宋体" w:cs="宋体"/>
                <w:kern w:val="0"/>
                <w:sz w:val="30"/>
                <w:szCs w:val="30"/>
              </w:rPr>
            </w:pPr>
            <w:r>
              <w:rPr>
                <w:rFonts w:hint="eastAsia" w:ascii="宋体" w:hAnsi="宋体" w:eastAsia="宋体" w:cs="仿宋_GB2312"/>
                <w:kern w:val="0"/>
                <w:sz w:val="30"/>
                <w:szCs w:val="30"/>
              </w:rPr>
              <w:t>一年定期存款利率</w:t>
            </w:r>
            <w:r>
              <w:rPr>
                <w:rFonts w:hint="eastAsia" w:ascii="宋体" w:hAnsi="宋体" w:eastAsia="宋体" w:cs="宋体"/>
                <w:kern w:val="0"/>
                <w:sz w:val="30"/>
                <w:szCs w:val="30"/>
              </w:rPr>
              <w:t>浮动BP值</w:t>
            </w:r>
          </w:p>
        </w:tc>
        <w:tc>
          <w:tcPr>
            <w:tcW w:w="2585"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before="100" w:beforeAutospacing="1" w:after="100" w:afterAutospacing="1" w:line="360" w:lineRule="auto"/>
              <w:jc w:val="left"/>
              <w:rPr>
                <w:rFonts w:ascii="宋体" w:hAnsi="宋体" w:eastAsia="宋体" w:cs="宋体"/>
                <w:kern w:val="0"/>
                <w:sz w:val="30"/>
                <w:szCs w:val="30"/>
              </w:rPr>
            </w:pPr>
            <w:r>
              <w:rPr>
                <w:rFonts w:hint="eastAsia" w:ascii="宋体" w:hAnsi="宋体" w:eastAsia="宋体" w:cs="宋体"/>
                <w:kern w:val="0"/>
                <w:sz w:val="30"/>
                <w:szCs w:val="30"/>
              </w:rPr>
              <w:t>+</w:t>
            </w:r>
          </w:p>
        </w:tc>
      </w:tr>
      <w:tr>
        <w:tblPrEx>
          <w:tblCellMar>
            <w:top w:w="0" w:type="dxa"/>
            <w:left w:w="108" w:type="dxa"/>
            <w:bottom w:w="0" w:type="dxa"/>
            <w:right w:w="108" w:type="dxa"/>
          </w:tblCellMar>
        </w:tblPrEx>
        <w:trPr>
          <w:trHeight w:val="801" w:hRule="atLeast"/>
        </w:trPr>
        <w:tc>
          <w:tcPr>
            <w:tcW w:w="6250" w:type="dxa"/>
            <w:tcBorders>
              <w:top w:val="single" w:color="auto" w:sz="6" w:space="0"/>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line="360" w:lineRule="auto"/>
              <w:jc w:val="center"/>
              <w:rPr>
                <w:rFonts w:ascii="宋体" w:hAnsi="宋体" w:eastAsia="宋体" w:cs="宋体"/>
                <w:kern w:val="0"/>
                <w:sz w:val="30"/>
                <w:szCs w:val="30"/>
              </w:rPr>
            </w:pPr>
            <w:r>
              <w:rPr>
                <w:rFonts w:hint="eastAsia" w:ascii="宋体" w:hAnsi="宋体" w:eastAsia="宋体" w:cs="仿宋_GB2312"/>
                <w:kern w:val="0"/>
                <w:sz w:val="30"/>
                <w:szCs w:val="30"/>
              </w:rPr>
              <w:t>一年定期存款利率</w:t>
            </w:r>
          </w:p>
        </w:tc>
        <w:tc>
          <w:tcPr>
            <w:tcW w:w="2585"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before="100" w:beforeAutospacing="1" w:after="100" w:afterAutospacing="1" w:line="360" w:lineRule="auto"/>
              <w:jc w:val="left"/>
              <w:rPr>
                <w:rFonts w:ascii="宋体" w:hAnsi="宋体" w:eastAsia="宋体" w:cs="宋体"/>
                <w:kern w:val="0"/>
                <w:sz w:val="30"/>
                <w:szCs w:val="30"/>
              </w:rPr>
            </w:pPr>
          </w:p>
        </w:tc>
      </w:tr>
      <w:tr>
        <w:tblPrEx>
          <w:tblCellMar>
            <w:top w:w="0" w:type="dxa"/>
            <w:left w:w="108" w:type="dxa"/>
            <w:bottom w:w="0" w:type="dxa"/>
            <w:right w:w="108" w:type="dxa"/>
          </w:tblCellMar>
        </w:tblPrEx>
        <w:trPr>
          <w:trHeight w:val="801" w:hRule="atLeast"/>
        </w:trPr>
        <w:tc>
          <w:tcPr>
            <w:tcW w:w="6250" w:type="dxa"/>
            <w:tcBorders>
              <w:top w:val="single" w:color="auto" w:sz="6" w:space="0"/>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line="360" w:lineRule="auto"/>
              <w:jc w:val="center"/>
              <w:rPr>
                <w:rFonts w:ascii="宋体" w:hAnsi="宋体" w:eastAsia="宋体" w:cs="宋体"/>
                <w:kern w:val="0"/>
                <w:sz w:val="30"/>
                <w:szCs w:val="30"/>
              </w:rPr>
            </w:pPr>
            <w:r>
              <w:rPr>
                <w:rFonts w:hint="eastAsia" w:ascii="宋体" w:hAnsi="宋体" w:eastAsia="宋体" w:cs="仿宋_GB2312"/>
                <w:bCs/>
                <w:kern w:val="0"/>
                <w:sz w:val="30"/>
                <w:szCs w:val="30"/>
              </w:rPr>
              <w:t>协定存款利率</w:t>
            </w:r>
            <w:r>
              <w:rPr>
                <w:rFonts w:hint="eastAsia" w:ascii="宋体" w:hAnsi="宋体" w:eastAsia="宋体" w:cs="宋体"/>
                <w:kern w:val="0"/>
                <w:sz w:val="30"/>
                <w:szCs w:val="30"/>
              </w:rPr>
              <w:t>浮动BP值</w:t>
            </w:r>
          </w:p>
        </w:tc>
        <w:tc>
          <w:tcPr>
            <w:tcW w:w="2585"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before="100" w:beforeAutospacing="1" w:after="100" w:afterAutospacing="1" w:line="360" w:lineRule="auto"/>
              <w:jc w:val="left"/>
              <w:rPr>
                <w:rFonts w:ascii="宋体" w:hAnsi="宋体" w:eastAsia="宋体" w:cs="宋体"/>
                <w:kern w:val="0"/>
                <w:sz w:val="30"/>
                <w:szCs w:val="30"/>
              </w:rPr>
            </w:pPr>
            <w:r>
              <w:rPr>
                <w:rFonts w:hint="eastAsia" w:ascii="宋体" w:hAnsi="宋体" w:eastAsia="宋体" w:cs="宋体"/>
                <w:kern w:val="0"/>
                <w:sz w:val="30"/>
                <w:szCs w:val="30"/>
              </w:rPr>
              <w:t>+</w:t>
            </w:r>
          </w:p>
        </w:tc>
      </w:tr>
      <w:tr>
        <w:tblPrEx>
          <w:tblCellMar>
            <w:top w:w="0" w:type="dxa"/>
            <w:left w:w="108" w:type="dxa"/>
            <w:bottom w:w="0" w:type="dxa"/>
            <w:right w:w="108" w:type="dxa"/>
          </w:tblCellMar>
        </w:tblPrEx>
        <w:trPr>
          <w:trHeight w:val="801" w:hRule="atLeast"/>
        </w:trPr>
        <w:tc>
          <w:tcPr>
            <w:tcW w:w="6250" w:type="dxa"/>
            <w:tcBorders>
              <w:top w:val="single" w:color="auto" w:sz="6" w:space="0"/>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line="360" w:lineRule="auto"/>
              <w:jc w:val="center"/>
              <w:rPr>
                <w:rFonts w:ascii="宋体" w:hAnsi="宋体" w:eastAsia="宋体" w:cs="宋体"/>
                <w:kern w:val="0"/>
                <w:sz w:val="30"/>
                <w:szCs w:val="30"/>
              </w:rPr>
            </w:pPr>
            <w:r>
              <w:rPr>
                <w:rFonts w:hint="eastAsia" w:ascii="宋体" w:hAnsi="宋体" w:eastAsia="宋体" w:cs="仿宋_GB2312"/>
                <w:bCs/>
                <w:kern w:val="0"/>
                <w:sz w:val="30"/>
                <w:szCs w:val="30"/>
              </w:rPr>
              <w:t>协定存款利率</w:t>
            </w:r>
          </w:p>
        </w:tc>
        <w:tc>
          <w:tcPr>
            <w:tcW w:w="2585"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before="100" w:beforeAutospacing="1" w:after="100" w:afterAutospacing="1" w:line="360" w:lineRule="auto"/>
              <w:jc w:val="left"/>
              <w:rPr>
                <w:rFonts w:ascii="宋体" w:hAnsi="宋体" w:eastAsia="宋体" w:cs="宋体"/>
                <w:kern w:val="0"/>
                <w:sz w:val="30"/>
                <w:szCs w:val="30"/>
              </w:rPr>
            </w:pPr>
          </w:p>
        </w:tc>
      </w:tr>
    </w:tbl>
    <w:p>
      <w:pPr>
        <w:widowControl/>
        <w:shd w:val="clear" w:color="auto" w:fill="FFFFFF"/>
        <w:spacing w:line="360" w:lineRule="auto"/>
        <w:jc w:val="left"/>
        <w:rPr>
          <w:rFonts w:ascii="宋体" w:hAnsi="宋体" w:eastAsia="宋体" w:cs="宋体"/>
          <w:kern w:val="0"/>
          <w:sz w:val="30"/>
          <w:szCs w:val="30"/>
        </w:rPr>
      </w:pPr>
      <w:r>
        <w:rPr>
          <w:rFonts w:hint="eastAsia" w:ascii="宋体" w:hAnsi="宋体" w:eastAsia="宋体" w:cs="宋体"/>
          <w:kern w:val="0"/>
          <w:sz w:val="30"/>
          <w:szCs w:val="30"/>
        </w:rPr>
        <w:t>   注：如较基准利率上浮65BP，就填65。</w:t>
      </w:r>
    </w:p>
    <w:p>
      <w:pPr>
        <w:widowControl/>
        <w:shd w:val="clear" w:color="auto" w:fill="FFFFFF"/>
        <w:spacing w:line="360" w:lineRule="auto"/>
        <w:jc w:val="left"/>
        <w:rPr>
          <w:rFonts w:ascii="宋体" w:hAnsi="宋体" w:eastAsia="宋体" w:cs="宋体"/>
          <w:kern w:val="0"/>
          <w:sz w:val="30"/>
          <w:szCs w:val="30"/>
        </w:rPr>
      </w:pPr>
      <w:r>
        <w:rPr>
          <w:rFonts w:hint="eastAsia" w:ascii="宋体" w:hAnsi="宋体" w:eastAsia="宋体" w:cs="宋体"/>
          <w:kern w:val="0"/>
          <w:sz w:val="30"/>
          <w:szCs w:val="30"/>
        </w:rPr>
        <w:t>  </w:t>
      </w:r>
    </w:p>
    <w:p>
      <w:pPr>
        <w:widowControl/>
        <w:shd w:val="clear" w:color="auto" w:fill="FFFFFF"/>
        <w:spacing w:line="360" w:lineRule="auto"/>
        <w:jc w:val="left"/>
        <w:rPr>
          <w:rFonts w:ascii="宋体" w:hAnsi="宋体" w:eastAsia="宋体" w:cs="宋体"/>
          <w:kern w:val="0"/>
          <w:sz w:val="30"/>
          <w:szCs w:val="30"/>
        </w:rPr>
      </w:pPr>
      <w:r>
        <w:rPr>
          <w:rFonts w:hint="eastAsia" w:ascii="宋体" w:hAnsi="宋体" w:eastAsia="宋体" w:cs="宋体"/>
          <w:kern w:val="0"/>
          <w:sz w:val="30"/>
          <w:szCs w:val="30"/>
        </w:rPr>
        <w:t>投标银行名称：______________________________________</w:t>
      </w:r>
    </w:p>
    <w:p>
      <w:pPr>
        <w:widowControl/>
        <w:shd w:val="clear" w:color="auto" w:fill="FFFFFF"/>
        <w:spacing w:line="360" w:lineRule="auto"/>
        <w:jc w:val="left"/>
        <w:rPr>
          <w:rFonts w:ascii="宋体" w:hAnsi="宋体" w:eastAsia="宋体" w:cs="宋体"/>
          <w:kern w:val="0"/>
          <w:sz w:val="30"/>
          <w:szCs w:val="30"/>
        </w:rPr>
      </w:pPr>
      <w:r>
        <w:rPr>
          <w:rFonts w:hint="eastAsia" w:ascii="宋体" w:hAnsi="宋体" w:eastAsia="宋体" w:cs="宋体"/>
          <w:kern w:val="0"/>
          <w:sz w:val="30"/>
          <w:szCs w:val="30"/>
        </w:rPr>
        <w:t>经办人：________________ 联系电话：________________</w:t>
      </w:r>
    </w:p>
    <w:p>
      <w:pPr>
        <w:widowControl/>
        <w:shd w:val="clear" w:color="auto" w:fill="FFFFFF"/>
        <w:spacing w:line="360" w:lineRule="auto"/>
        <w:jc w:val="left"/>
        <w:rPr>
          <w:rFonts w:ascii="宋体" w:hAnsi="宋体" w:eastAsia="宋体" w:cs="宋体"/>
          <w:kern w:val="0"/>
          <w:sz w:val="30"/>
          <w:szCs w:val="30"/>
        </w:rPr>
      </w:pPr>
    </w:p>
    <w:p>
      <w:pPr>
        <w:widowControl/>
        <w:shd w:val="clear" w:color="auto" w:fill="FFFFFF"/>
        <w:spacing w:line="360" w:lineRule="auto"/>
        <w:ind w:right="-340" w:rightChars="-162"/>
        <w:jc w:val="left"/>
        <w:rPr>
          <w:rFonts w:ascii="宋体" w:hAnsi="宋体" w:eastAsia="宋体" w:cs="宋体"/>
          <w:kern w:val="0"/>
          <w:sz w:val="30"/>
          <w:szCs w:val="30"/>
        </w:rPr>
      </w:pPr>
      <w:r>
        <w:rPr>
          <w:rFonts w:hint="eastAsia" w:ascii="宋体" w:hAnsi="宋体" w:eastAsia="宋体" w:cs="宋体"/>
          <w:kern w:val="0"/>
          <w:sz w:val="30"/>
          <w:szCs w:val="30"/>
        </w:rPr>
        <w:t>                       投标银行主要负责人（签字或盖章）：</w:t>
      </w:r>
    </w:p>
    <w:p>
      <w:pPr>
        <w:widowControl/>
        <w:shd w:val="clear" w:color="auto" w:fill="FFFFFF"/>
        <w:spacing w:line="360" w:lineRule="auto"/>
        <w:jc w:val="left"/>
        <w:rPr>
          <w:rFonts w:ascii="宋体" w:hAnsi="宋体" w:eastAsia="宋体" w:cs="宋体"/>
          <w:kern w:val="0"/>
          <w:sz w:val="30"/>
          <w:szCs w:val="30"/>
        </w:rPr>
      </w:pPr>
      <w:r>
        <w:rPr>
          <w:rFonts w:hint="eastAsia" w:ascii="宋体" w:hAnsi="宋体" w:eastAsia="宋体" w:cs="宋体"/>
          <w:kern w:val="0"/>
          <w:sz w:val="30"/>
          <w:szCs w:val="30"/>
        </w:rPr>
        <w:t>                      投标银行（公章）</w:t>
      </w:r>
    </w:p>
    <w:p>
      <w:pPr>
        <w:widowControl/>
        <w:shd w:val="clear" w:color="auto" w:fill="FFFFFF"/>
        <w:spacing w:line="360" w:lineRule="auto"/>
        <w:jc w:val="left"/>
        <w:rPr>
          <w:rFonts w:ascii="宋体" w:hAnsi="宋体" w:eastAsia="宋体" w:cs="宋体"/>
          <w:kern w:val="0"/>
          <w:sz w:val="30"/>
          <w:szCs w:val="30"/>
        </w:rPr>
      </w:pPr>
      <w:r>
        <w:rPr>
          <w:rFonts w:hint="eastAsia" w:ascii="宋体" w:hAnsi="宋体" w:eastAsia="宋体" w:cs="宋体"/>
          <w:kern w:val="0"/>
          <w:sz w:val="30"/>
          <w:szCs w:val="30"/>
        </w:rPr>
        <w:t>                      投标日期：  年  月  日</w:t>
      </w:r>
    </w:p>
    <w:p>
      <w:pPr>
        <w:widowControl/>
        <w:overflowPunct w:val="0"/>
        <w:autoSpaceDE w:val="0"/>
        <w:autoSpaceDN w:val="0"/>
        <w:adjustRightInd w:val="0"/>
        <w:spacing w:line="450" w:lineRule="atLeast"/>
        <w:textAlignment w:val="baseline"/>
        <w:outlineLvl w:val="0"/>
        <w:rPr>
          <w:rFonts w:ascii="宋体" w:hAnsi="宋体" w:eastAsia="宋体" w:cs="宋体"/>
          <w:kern w:val="0"/>
          <w:sz w:val="30"/>
          <w:szCs w:val="30"/>
        </w:rPr>
      </w:pPr>
      <w:r>
        <w:rPr>
          <w:rFonts w:hint="eastAsia" w:ascii="宋体" w:hAnsi="宋体" w:eastAsia="宋体" w:cs="Times New Roman"/>
          <w:b/>
          <w:kern w:val="0"/>
          <w:sz w:val="30"/>
          <w:szCs w:val="30"/>
        </w:rPr>
        <w:br w:type="page"/>
      </w:r>
      <w:bookmarkStart w:id="7" w:name="_Toc26538"/>
      <w:r>
        <w:rPr>
          <w:rFonts w:hint="eastAsia" w:ascii="宋体" w:hAnsi="宋体" w:eastAsia="宋体" w:cs="Times New Roman"/>
          <w:b/>
          <w:kern w:val="0"/>
          <w:sz w:val="30"/>
          <w:szCs w:val="30"/>
        </w:rPr>
        <w:t>附件三  廉政承诺书</w:t>
      </w:r>
      <w:bookmarkEnd w:id="7"/>
    </w:p>
    <w:p>
      <w:pPr>
        <w:widowControl/>
        <w:shd w:val="clear" w:color="auto" w:fill="FFFFFF"/>
        <w:spacing w:line="448" w:lineRule="atLeast"/>
        <w:jc w:val="center"/>
        <w:rPr>
          <w:rFonts w:ascii="宋体" w:hAnsi="宋体" w:eastAsia="宋体" w:cs="宋体"/>
          <w:kern w:val="0"/>
          <w:sz w:val="30"/>
          <w:szCs w:val="30"/>
        </w:rPr>
      </w:pPr>
      <w:r>
        <w:rPr>
          <w:rFonts w:hint="eastAsia" w:ascii="宋体" w:hAnsi="宋体" w:eastAsia="宋体" w:cs="宋体"/>
          <w:kern w:val="0"/>
          <w:sz w:val="30"/>
          <w:szCs w:val="30"/>
        </w:rPr>
        <w:t>廉政承诺书</w:t>
      </w:r>
    </w:p>
    <w:p>
      <w:pPr>
        <w:widowControl/>
        <w:shd w:val="clear" w:color="auto" w:fill="FFFFFF"/>
        <w:spacing w:line="503" w:lineRule="atLeast"/>
        <w:jc w:val="left"/>
        <w:rPr>
          <w:rFonts w:ascii="宋体" w:hAnsi="宋体" w:eastAsia="宋体" w:cs="宋体"/>
          <w:kern w:val="0"/>
          <w:sz w:val="30"/>
          <w:szCs w:val="30"/>
        </w:rPr>
      </w:pPr>
      <w:r>
        <w:rPr>
          <w:rFonts w:hint="eastAsia" w:ascii="宋体" w:hAnsi="宋体" w:eastAsia="宋体" w:cs="宋体"/>
          <w:kern w:val="0"/>
          <w:sz w:val="30"/>
          <w:szCs w:val="30"/>
        </w:rPr>
        <w:t>永嘉县人民检察院：</w:t>
      </w:r>
    </w:p>
    <w:p>
      <w:pPr>
        <w:widowControl/>
        <w:shd w:val="clear" w:color="auto" w:fill="FFFFFF"/>
        <w:spacing w:line="180" w:lineRule="auto"/>
        <w:ind w:firstLine="584"/>
        <w:jc w:val="left"/>
        <w:rPr>
          <w:rFonts w:ascii="宋体" w:hAnsi="宋体" w:eastAsia="宋体" w:cs="宋体"/>
          <w:kern w:val="0"/>
          <w:sz w:val="30"/>
          <w:szCs w:val="30"/>
          <w:u w:val="single"/>
        </w:rPr>
      </w:pPr>
      <w:r>
        <w:rPr>
          <w:rFonts w:hint="eastAsia" w:ascii="宋体" w:hAnsi="宋体" w:eastAsia="宋体" w:cs="宋体"/>
          <w:kern w:val="0"/>
          <w:sz w:val="30"/>
          <w:szCs w:val="30"/>
        </w:rPr>
        <w:t>根据《关于防止领导干部在公款存放方面发生利益冲突和利益输送的办法》(浙委办发〔2015〕8号)、《浙江省省级行政事业单位公款竞争性存放管理》（浙财预执〔2021〕7号）、《永嘉县财政局关于印发永嘉县县级行政事业单位公款竞争性存放管理办法的通知》（永财预执〔2022〕203号）文件规定，现就本行参加贵单位</w:t>
      </w:r>
      <w:r>
        <w:rPr>
          <w:rFonts w:hint="eastAsia" w:ascii="宋体" w:hAnsi="宋体" w:eastAsia="宋体" w:cs="宋体"/>
          <w:kern w:val="0"/>
          <w:sz w:val="30"/>
          <w:szCs w:val="30"/>
          <w:u w:val="single"/>
        </w:rPr>
        <w:t>永嘉县人民检察院涉案暂扣款专户竞争性开户（项目编号：YJJCY-20231020）</w:t>
      </w:r>
      <w:r>
        <w:rPr>
          <w:rFonts w:hint="eastAsia" w:ascii="宋体" w:hAnsi="宋体" w:eastAsia="宋体" w:cs="宋体"/>
          <w:kern w:val="0"/>
          <w:sz w:val="30"/>
          <w:szCs w:val="30"/>
        </w:rPr>
        <w:t>作出如下承诺：</w:t>
      </w:r>
    </w:p>
    <w:p>
      <w:pPr>
        <w:widowControl/>
        <w:shd w:val="clear" w:color="auto" w:fill="FFFFFF"/>
        <w:spacing w:line="360" w:lineRule="auto"/>
        <w:ind w:firstLine="600" w:firstLineChars="200"/>
        <w:jc w:val="left"/>
        <w:rPr>
          <w:rFonts w:ascii="宋体" w:hAnsi="宋体" w:eastAsia="宋体" w:cs="宋体"/>
          <w:kern w:val="0"/>
          <w:sz w:val="30"/>
          <w:szCs w:val="30"/>
        </w:rPr>
      </w:pPr>
      <w:r>
        <w:rPr>
          <w:rFonts w:ascii="宋体" w:hAnsi="宋体" w:eastAsia="宋体" w:cs="宋体"/>
          <w:kern w:val="0"/>
          <w:sz w:val="30"/>
          <w:szCs w:val="30"/>
        </w:rPr>
        <w:t>1.不向贵单位负责公款存放管理的领导及相关人员进行利益输送；</w:t>
      </w:r>
    </w:p>
    <w:p>
      <w:pPr>
        <w:widowControl/>
        <w:shd w:val="clear" w:color="auto" w:fill="FFFFFF"/>
        <w:spacing w:line="360" w:lineRule="auto"/>
        <w:ind w:firstLine="600" w:firstLineChars="200"/>
        <w:jc w:val="left"/>
        <w:rPr>
          <w:rFonts w:ascii="宋体" w:hAnsi="宋体" w:eastAsia="宋体" w:cs="宋体"/>
          <w:kern w:val="0"/>
          <w:sz w:val="30"/>
          <w:szCs w:val="30"/>
        </w:rPr>
      </w:pPr>
      <w:r>
        <w:rPr>
          <w:rFonts w:ascii="宋体" w:hAnsi="宋体" w:eastAsia="宋体" w:cs="宋体"/>
          <w:kern w:val="0"/>
          <w:sz w:val="30"/>
          <w:szCs w:val="30"/>
        </w:rPr>
        <w:t>2.不将公款存放与贵单位负责公款存放管理的领导及相关人员在本行的配偶、子女及其配偶和其他直接利益相关人员的业绩、收入、晋升等利益挂钩；</w:t>
      </w:r>
    </w:p>
    <w:p>
      <w:pPr>
        <w:widowControl/>
        <w:shd w:val="clear" w:color="auto" w:fill="FFFFFF"/>
        <w:spacing w:line="360" w:lineRule="auto"/>
        <w:ind w:firstLine="600" w:firstLineChars="200"/>
        <w:jc w:val="left"/>
        <w:rPr>
          <w:rFonts w:ascii="宋体" w:hAnsi="宋体" w:eastAsia="宋体" w:cs="宋体"/>
          <w:kern w:val="0"/>
          <w:sz w:val="30"/>
          <w:szCs w:val="30"/>
        </w:rPr>
      </w:pPr>
      <w:r>
        <w:rPr>
          <w:rFonts w:ascii="宋体" w:hAnsi="宋体" w:eastAsia="宋体" w:cs="宋体"/>
          <w:kern w:val="0"/>
          <w:sz w:val="30"/>
          <w:szCs w:val="30"/>
        </w:rPr>
        <w:t>3.严格执行利益回避制度，贵单位负责公款竞争性存放相关人员的配偶、子女及其配偶和其他直接利益相关人员为本行工作人员的，不参与公款竞争性存放工作；</w:t>
      </w:r>
    </w:p>
    <w:p>
      <w:pPr>
        <w:widowControl/>
        <w:shd w:val="clear" w:color="auto" w:fill="FFFFFF"/>
        <w:spacing w:line="360" w:lineRule="auto"/>
        <w:ind w:firstLine="600" w:firstLineChars="200"/>
        <w:jc w:val="left"/>
        <w:rPr>
          <w:rFonts w:ascii="宋体" w:hAnsi="宋体" w:eastAsia="宋体" w:cs="宋体"/>
          <w:kern w:val="0"/>
          <w:sz w:val="30"/>
          <w:szCs w:val="30"/>
        </w:rPr>
      </w:pPr>
      <w:r>
        <w:rPr>
          <w:rFonts w:ascii="宋体" w:hAnsi="宋体" w:eastAsia="宋体" w:cs="宋体"/>
          <w:kern w:val="0"/>
          <w:sz w:val="30"/>
          <w:szCs w:val="30"/>
        </w:rPr>
        <w:t>4.不发生除上述行为之外的其他任何利益输送行为。</w:t>
      </w:r>
    </w:p>
    <w:p>
      <w:pPr>
        <w:widowControl/>
        <w:shd w:val="clear" w:color="auto" w:fill="FFFFFF"/>
        <w:spacing w:line="180" w:lineRule="auto"/>
        <w:jc w:val="left"/>
        <w:rPr>
          <w:rFonts w:ascii="宋体" w:hAnsi="宋体" w:eastAsia="宋体" w:cs="宋体"/>
          <w:kern w:val="0"/>
          <w:sz w:val="30"/>
          <w:szCs w:val="30"/>
        </w:rPr>
      </w:pPr>
      <w:r>
        <w:rPr>
          <w:rFonts w:hint="eastAsia" w:ascii="宋体" w:hAnsi="宋体" w:eastAsia="宋体" w:cs="宋体"/>
          <w:kern w:val="0"/>
          <w:sz w:val="30"/>
          <w:szCs w:val="30"/>
        </w:rPr>
        <w:t>未遵守以上承诺的，本行自愿接受财政部门通报和处理，承担相应的一切后果。</w:t>
      </w:r>
    </w:p>
    <w:p>
      <w:pPr>
        <w:widowControl/>
        <w:shd w:val="clear" w:color="auto" w:fill="FFFFFF"/>
        <w:spacing w:line="180" w:lineRule="auto"/>
        <w:ind w:firstLine="584"/>
        <w:jc w:val="left"/>
        <w:rPr>
          <w:rFonts w:ascii="宋体" w:hAnsi="宋体" w:eastAsia="宋体" w:cs="宋体"/>
          <w:kern w:val="0"/>
          <w:sz w:val="30"/>
          <w:szCs w:val="30"/>
        </w:rPr>
      </w:pPr>
      <w:r>
        <w:rPr>
          <w:rFonts w:hint="eastAsia" w:ascii="宋体" w:hAnsi="宋体" w:eastAsia="宋体" w:cs="宋体"/>
          <w:kern w:val="0"/>
          <w:sz w:val="30"/>
          <w:szCs w:val="30"/>
        </w:rPr>
        <w:t> </w:t>
      </w:r>
      <w:r>
        <w:rPr>
          <w:rFonts w:hint="eastAsia" w:ascii="宋体" w:hAnsi="宋体" w:eastAsia="宋体" w:cs="宋体"/>
          <w:kern w:val="0"/>
          <w:sz w:val="30"/>
          <w:szCs w:val="30"/>
          <w:u w:val="single"/>
        </w:rPr>
        <w:t>        </w:t>
      </w:r>
      <w:r>
        <w:rPr>
          <w:rFonts w:hint="eastAsia" w:ascii="宋体" w:hAnsi="宋体" w:eastAsia="宋体" w:cs="宋体"/>
          <w:kern w:val="0"/>
          <w:sz w:val="30"/>
          <w:szCs w:val="30"/>
        </w:rPr>
        <w:t>银行（公章）</w:t>
      </w:r>
    </w:p>
    <w:p>
      <w:pPr>
        <w:widowControl/>
        <w:shd w:val="clear" w:color="auto" w:fill="FFFFFF"/>
        <w:spacing w:line="180" w:lineRule="auto"/>
        <w:jc w:val="right"/>
        <w:rPr>
          <w:rFonts w:ascii="宋体" w:hAnsi="宋体" w:eastAsia="宋体" w:cs="宋体"/>
          <w:kern w:val="0"/>
          <w:sz w:val="30"/>
          <w:szCs w:val="30"/>
        </w:rPr>
      </w:pPr>
      <w:r>
        <w:rPr>
          <w:rFonts w:hint="eastAsia" w:ascii="宋体" w:hAnsi="宋体" w:eastAsia="宋体" w:cs="宋体"/>
          <w:kern w:val="0"/>
          <w:sz w:val="30"/>
          <w:szCs w:val="30"/>
        </w:rPr>
        <w:t>                                                    年   月   日</w:t>
      </w:r>
    </w:p>
    <w:p>
      <w:pPr>
        <w:widowControl/>
        <w:overflowPunct w:val="0"/>
        <w:autoSpaceDE w:val="0"/>
        <w:autoSpaceDN w:val="0"/>
        <w:adjustRightInd w:val="0"/>
        <w:spacing w:line="450" w:lineRule="atLeast"/>
        <w:textAlignment w:val="baseline"/>
        <w:outlineLvl w:val="0"/>
        <w:rPr>
          <w:rFonts w:ascii="宋体" w:hAnsi="宋体" w:eastAsia="宋体" w:cs="Times New Roman"/>
          <w:b/>
          <w:kern w:val="0"/>
          <w:sz w:val="30"/>
          <w:szCs w:val="30"/>
        </w:rPr>
      </w:pPr>
      <w:r>
        <w:rPr>
          <w:rFonts w:hint="eastAsia" w:ascii="宋体" w:hAnsi="宋体" w:eastAsia="宋体" w:cs="宋体"/>
          <w:kern w:val="0"/>
          <w:sz w:val="30"/>
          <w:szCs w:val="30"/>
        </w:rPr>
        <w:br w:type="page"/>
      </w:r>
      <w:bookmarkStart w:id="8" w:name="_Toc21979"/>
      <w:r>
        <w:rPr>
          <w:rFonts w:hint="eastAsia" w:ascii="宋体" w:hAnsi="宋体" w:eastAsia="宋体" w:cs="Times New Roman"/>
          <w:b/>
          <w:kern w:val="0"/>
          <w:sz w:val="30"/>
          <w:szCs w:val="30"/>
        </w:rPr>
        <w:t xml:space="preserve">附件四  </w:t>
      </w:r>
      <w:bookmarkEnd w:id="8"/>
      <w:r>
        <w:rPr>
          <w:rFonts w:hint="eastAsia" w:ascii="宋体" w:hAnsi="宋体" w:eastAsia="宋体" w:cs="Times New Roman"/>
          <w:b/>
          <w:kern w:val="0"/>
          <w:sz w:val="30"/>
          <w:szCs w:val="30"/>
        </w:rPr>
        <w:t>法人指标反向测评相关证明材料</w:t>
      </w:r>
    </w:p>
    <w:p>
      <w:pPr>
        <w:jc w:val="center"/>
        <w:rPr>
          <w:rFonts w:ascii="宋体" w:hAnsi="宋体" w:eastAsia="宋体" w:cs="宋体"/>
          <w:b/>
          <w:bCs/>
          <w:sz w:val="30"/>
          <w:szCs w:val="30"/>
          <w:u w:val="single"/>
        </w:rPr>
      </w:pPr>
    </w:p>
    <w:p>
      <w:pPr>
        <w:jc w:val="center"/>
        <w:rPr>
          <w:rFonts w:ascii="宋体" w:hAnsi="宋体" w:eastAsia="宋体" w:cs="宋体"/>
          <w:b/>
          <w:bCs/>
          <w:sz w:val="30"/>
          <w:szCs w:val="30"/>
        </w:rPr>
      </w:pP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银行关于法人指标反向测评指标承诺函</w:t>
      </w:r>
    </w:p>
    <w:p>
      <w:pPr>
        <w:jc w:val="left"/>
        <w:rPr>
          <w:rFonts w:ascii="宋体" w:hAnsi="宋体" w:eastAsia="宋体" w:cs="宋体"/>
          <w:sz w:val="30"/>
          <w:szCs w:val="30"/>
        </w:rPr>
      </w:pPr>
      <w:r>
        <w:rPr>
          <w:rFonts w:hint="eastAsia" w:ascii="宋体" w:hAnsi="宋体" w:eastAsia="宋体" w:cs="宋体"/>
          <w:sz w:val="30"/>
          <w:szCs w:val="30"/>
        </w:rPr>
        <w:t>永嘉县人民检察院：</w:t>
      </w:r>
    </w:p>
    <w:p>
      <w:pPr>
        <w:ind w:firstLine="600" w:firstLineChars="200"/>
        <w:jc w:val="left"/>
        <w:rPr>
          <w:rFonts w:ascii="宋体" w:hAnsi="宋体" w:eastAsia="宋体" w:cs="宋体"/>
          <w:sz w:val="30"/>
          <w:szCs w:val="30"/>
        </w:rPr>
      </w:pPr>
      <w:r>
        <w:rPr>
          <w:rFonts w:hint="eastAsia" w:ascii="宋体" w:hAnsi="宋体" w:eastAsia="宋体" w:cs="宋体"/>
          <w:sz w:val="30"/>
          <w:szCs w:val="30"/>
          <w:u w:val="single"/>
        </w:rPr>
        <w:t xml:space="preserve">      </w:t>
      </w:r>
      <w:r>
        <w:rPr>
          <w:rFonts w:hint="eastAsia" w:ascii="宋体" w:hAnsi="宋体" w:eastAsia="宋体" w:cs="宋体"/>
          <w:sz w:val="30"/>
          <w:szCs w:val="30"/>
        </w:rPr>
        <w:t>银行20</w:t>
      </w:r>
      <w:r>
        <w:rPr>
          <w:rFonts w:hint="eastAsia" w:ascii="宋体" w:hAnsi="宋体" w:eastAsia="宋体" w:cs="宋体"/>
          <w:sz w:val="30"/>
          <w:szCs w:val="30"/>
          <w:u w:val="single"/>
        </w:rPr>
        <w:t xml:space="preserve">   </w:t>
      </w:r>
      <w:r>
        <w:rPr>
          <w:rFonts w:hint="eastAsia" w:ascii="宋体" w:hAnsi="宋体" w:eastAsia="宋体" w:cs="宋体"/>
          <w:sz w:val="30"/>
          <w:szCs w:val="30"/>
        </w:rPr>
        <w:t>年末五项经营性指标情况说明如下：</w:t>
      </w:r>
    </w:p>
    <w:tbl>
      <w:tblPr>
        <w:tblStyle w:val="14"/>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62"/>
        <w:gridCol w:w="2462"/>
        <w:gridCol w:w="2464"/>
        <w:gridCol w:w="24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9" w:type="pct"/>
            <w:vAlign w:val="center"/>
          </w:tcPr>
          <w:p>
            <w:pPr>
              <w:jc w:val="center"/>
              <w:rPr>
                <w:rFonts w:ascii="宋体" w:hAnsi="宋体" w:eastAsia="宋体" w:cs="宋体"/>
                <w:b/>
                <w:bCs/>
                <w:sz w:val="30"/>
                <w:szCs w:val="30"/>
              </w:rPr>
            </w:pPr>
            <w:r>
              <w:rPr>
                <w:rFonts w:hint="eastAsia" w:ascii="宋体" w:hAnsi="宋体" w:eastAsia="宋体" w:cs="宋体"/>
                <w:b/>
                <w:bCs/>
                <w:sz w:val="30"/>
                <w:szCs w:val="30"/>
              </w:rPr>
              <w:t>指标名称</w:t>
            </w:r>
          </w:p>
        </w:tc>
        <w:tc>
          <w:tcPr>
            <w:tcW w:w="1249" w:type="pct"/>
            <w:vAlign w:val="center"/>
          </w:tcPr>
          <w:p>
            <w:pPr>
              <w:jc w:val="center"/>
              <w:rPr>
                <w:rFonts w:ascii="宋体" w:hAnsi="宋体" w:eastAsia="宋体" w:cs="宋体"/>
                <w:b/>
                <w:bCs/>
                <w:sz w:val="30"/>
                <w:szCs w:val="30"/>
              </w:rPr>
            </w:pPr>
            <w:r>
              <w:rPr>
                <w:rFonts w:hint="eastAsia" w:ascii="宋体" w:hAnsi="宋体" w:eastAsia="宋体" w:cs="宋体"/>
                <w:b/>
                <w:bCs/>
                <w:sz w:val="30"/>
                <w:szCs w:val="30"/>
              </w:rPr>
              <w:t>监管要求</w:t>
            </w:r>
          </w:p>
        </w:tc>
        <w:tc>
          <w:tcPr>
            <w:tcW w:w="1250" w:type="pct"/>
            <w:vAlign w:val="center"/>
          </w:tcPr>
          <w:p>
            <w:pPr>
              <w:jc w:val="center"/>
              <w:rPr>
                <w:rFonts w:ascii="宋体" w:hAnsi="宋体" w:eastAsia="宋体" w:cs="宋体"/>
                <w:b/>
                <w:bCs/>
                <w:sz w:val="30"/>
                <w:szCs w:val="30"/>
              </w:rPr>
            </w:pPr>
            <w:r>
              <w:rPr>
                <w:rFonts w:hint="eastAsia" w:ascii="宋体" w:hAnsi="宋体" w:eastAsia="宋体" w:cs="宋体"/>
                <w:b/>
                <w:bCs/>
                <w:sz w:val="30"/>
                <w:szCs w:val="30"/>
              </w:rPr>
              <w:t>我行指标</w:t>
            </w:r>
          </w:p>
        </w:tc>
        <w:tc>
          <w:tcPr>
            <w:tcW w:w="1250" w:type="pct"/>
            <w:vAlign w:val="center"/>
          </w:tcPr>
          <w:p>
            <w:pPr>
              <w:jc w:val="center"/>
              <w:rPr>
                <w:rFonts w:ascii="宋体" w:hAnsi="宋体" w:eastAsia="宋体" w:cs="宋体"/>
                <w:b/>
                <w:bCs/>
                <w:sz w:val="30"/>
                <w:szCs w:val="30"/>
              </w:rPr>
            </w:pPr>
            <w:r>
              <w:rPr>
                <w:rFonts w:hint="eastAsia" w:ascii="宋体" w:hAnsi="宋体" w:eastAsia="宋体" w:cs="宋体"/>
                <w:b/>
                <w:bCs/>
                <w:sz w:val="30"/>
                <w:szCs w:val="30"/>
              </w:rPr>
              <w:t>是否符合监管要求（是或否）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9" w:type="pct"/>
            <w:vAlign w:val="center"/>
          </w:tcPr>
          <w:p>
            <w:pPr>
              <w:jc w:val="center"/>
              <w:rPr>
                <w:rFonts w:ascii="宋体" w:hAnsi="宋体" w:eastAsia="宋体" w:cs="宋体"/>
                <w:sz w:val="30"/>
                <w:szCs w:val="30"/>
              </w:rPr>
            </w:pPr>
            <w:r>
              <w:rPr>
                <w:rFonts w:hint="eastAsia" w:ascii="宋体" w:hAnsi="宋体" w:eastAsia="宋体" w:cs="宋体"/>
                <w:sz w:val="30"/>
                <w:szCs w:val="30"/>
              </w:rPr>
              <w:t>资本充足率</w:t>
            </w:r>
          </w:p>
        </w:tc>
        <w:tc>
          <w:tcPr>
            <w:tcW w:w="1249" w:type="pct"/>
            <w:vAlign w:val="center"/>
          </w:tcPr>
          <w:p>
            <w:pPr>
              <w:jc w:val="center"/>
              <w:rPr>
                <w:rFonts w:ascii="宋体" w:hAnsi="宋体" w:eastAsia="宋体" w:cs="宋体"/>
                <w:sz w:val="30"/>
                <w:szCs w:val="30"/>
              </w:rPr>
            </w:pPr>
          </w:p>
        </w:tc>
        <w:tc>
          <w:tcPr>
            <w:tcW w:w="1250" w:type="pct"/>
            <w:vAlign w:val="center"/>
          </w:tcPr>
          <w:p>
            <w:pPr>
              <w:jc w:val="center"/>
              <w:rPr>
                <w:rFonts w:ascii="宋体" w:hAnsi="宋体" w:eastAsia="宋体" w:cs="宋体"/>
                <w:sz w:val="30"/>
                <w:szCs w:val="30"/>
              </w:rPr>
            </w:pPr>
          </w:p>
        </w:tc>
        <w:tc>
          <w:tcPr>
            <w:tcW w:w="1250" w:type="pct"/>
            <w:vAlign w:val="center"/>
          </w:tcPr>
          <w:p>
            <w:pPr>
              <w:jc w:val="center"/>
              <w:rPr>
                <w:rFonts w:ascii="宋体" w:hAnsi="宋体" w:eastAsia="宋体" w:cs="宋体"/>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9" w:type="pct"/>
            <w:vAlign w:val="center"/>
          </w:tcPr>
          <w:p>
            <w:pPr>
              <w:jc w:val="center"/>
              <w:rPr>
                <w:rFonts w:ascii="宋体" w:hAnsi="宋体" w:eastAsia="宋体" w:cs="宋体"/>
                <w:sz w:val="30"/>
                <w:szCs w:val="30"/>
              </w:rPr>
            </w:pPr>
            <w:r>
              <w:rPr>
                <w:rFonts w:hint="eastAsia" w:ascii="宋体" w:hAnsi="宋体" w:eastAsia="宋体" w:cs="宋体"/>
                <w:sz w:val="30"/>
                <w:szCs w:val="30"/>
              </w:rPr>
              <w:t>一级资本充足率</w:t>
            </w:r>
          </w:p>
        </w:tc>
        <w:tc>
          <w:tcPr>
            <w:tcW w:w="1249" w:type="pct"/>
            <w:vAlign w:val="center"/>
          </w:tcPr>
          <w:p>
            <w:pPr>
              <w:jc w:val="center"/>
              <w:rPr>
                <w:rFonts w:ascii="宋体" w:hAnsi="宋体" w:eastAsia="宋体" w:cs="宋体"/>
                <w:sz w:val="30"/>
                <w:szCs w:val="30"/>
              </w:rPr>
            </w:pPr>
          </w:p>
        </w:tc>
        <w:tc>
          <w:tcPr>
            <w:tcW w:w="1250" w:type="pct"/>
            <w:vAlign w:val="center"/>
          </w:tcPr>
          <w:p>
            <w:pPr>
              <w:jc w:val="center"/>
              <w:rPr>
                <w:rFonts w:ascii="宋体" w:hAnsi="宋体" w:eastAsia="宋体" w:cs="宋体"/>
                <w:sz w:val="30"/>
                <w:szCs w:val="30"/>
              </w:rPr>
            </w:pPr>
          </w:p>
        </w:tc>
        <w:tc>
          <w:tcPr>
            <w:tcW w:w="1250" w:type="pct"/>
            <w:vAlign w:val="center"/>
          </w:tcPr>
          <w:p>
            <w:pPr>
              <w:jc w:val="center"/>
              <w:rPr>
                <w:rFonts w:ascii="宋体" w:hAnsi="宋体" w:eastAsia="宋体" w:cs="宋体"/>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9" w:type="pct"/>
            <w:vAlign w:val="center"/>
          </w:tcPr>
          <w:p>
            <w:pPr>
              <w:jc w:val="center"/>
              <w:rPr>
                <w:rFonts w:ascii="宋体" w:hAnsi="宋体" w:eastAsia="宋体" w:cs="宋体"/>
                <w:sz w:val="30"/>
                <w:szCs w:val="30"/>
              </w:rPr>
            </w:pPr>
            <w:r>
              <w:rPr>
                <w:rFonts w:hint="eastAsia" w:ascii="宋体" w:hAnsi="宋体" w:eastAsia="宋体" w:cs="宋体"/>
                <w:sz w:val="30"/>
                <w:szCs w:val="30"/>
              </w:rPr>
              <w:t>核心一级资本充足率</w:t>
            </w:r>
          </w:p>
        </w:tc>
        <w:tc>
          <w:tcPr>
            <w:tcW w:w="1249" w:type="pct"/>
            <w:vAlign w:val="center"/>
          </w:tcPr>
          <w:p>
            <w:pPr>
              <w:jc w:val="center"/>
              <w:rPr>
                <w:rFonts w:ascii="宋体" w:hAnsi="宋体" w:eastAsia="宋体" w:cs="宋体"/>
                <w:sz w:val="30"/>
                <w:szCs w:val="30"/>
              </w:rPr>
            </w:pPr>
          </w:p>
        </w:tc>
        <w:tc>
          <w:tcPr>
            <w:tcW w:w="1250" w:type="pct"/>
            <w:vAlign w:val="center"/>
          </w:tcPr>
          <w:p>
            <w:pPr>
              <w:jc w:val="center"/>
              <w:rPr>
                <w:rFonts w:ascii="宋体" w:hAnsi="宋体" w:eastAsia="宋体" w:cs="宋体"/>
                <w:sz w:val="30"/>
                <w:szCs w:val="30"/>
              </w:rPr>
            </w:pPr>
          </w:p>
        </w:tc>
        <w:tc>
          <w:tcPr>
            <w:tcW w:w="1250" w:type="pct"/>
            <w:vAlign w:val="center"/>
          </w:tcPr>
          <w:p>
            <w:pPr>
              <w:jc w:val="center"/>
              <w:rPr>
                <w:rFonts w:ascii="宋体" w:hAnsi="宋体" w:eastAsia="宋体" w:cs="宋体"/>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9" w:type="pct"/>
            <w:vAlign w:val="center"/>
          </w:tcPr>
          <w:p>
            <w:pPr>
              <w:jc w:val="center"/>
              <w:rPr>
                <w:rFonts w:ascii="宋体" w:hAnsi="宋体" w:eastAsia="宋体" w:cs="宋体"/>
                <w:sz w:val="30"/>
                <w:szCs w:val="30"/>
              </w:rPr>
            </w:pPr>
            <w:r>
              <w:rPr>
                <w:rFonts w:hint="eastAsia" w:ascii="宋体" w:hAnsi="宋体" w:eastAsia="宋体" w:cs="宋体"/>
                <w:sz w:val="30"/>
                <w:szCs w:val="30"/>
              </w:rPr>
              <w:t>拨备覆盖率</w:t>
            </w:r>
          </w:p>
        </w:tc>
        <w:tc>
          <w:tcPr>
            <w:tcW w:w="1249" w:type="pct"/>
            <w:vAlign w:val="center"/>
          </w:tcPr>
          <w:p>
            <w:pPr>
              <w:jc w:val="center"/>
              <w:rPr>
                <w:rFonts w:ascii="宋体" w:hAnsi="宋体" w:eastAsia="宋体" w:cs="宋体"/>
                <w:sz w:val="30"/>
                <w:szCs w:val="30"/>
              </w:rPr>
            </w:pPr>
          </w:p>
        </w:tc>
        <w:tc>
          <w:tcPr>
            <w:tcW w:w="1250" w:type="pct"/>
            <w:vAlign w:val="center"/>
          </w:tcPr>
          <w:p>
            <w:pPr>
              <w:jc w:val="center"/>
              <w:rPr>
                <w:rFonts w:ascii="宋体" w:hAnsi="宋体" w:eastAsia="宋体" w:cs="宋体"/>
                <w:sz w:val="30"/>
                <w:szCs w:val="30"/>
              </w:rPr>
            </w:pPr>
          </w:p>
        </w:tc>
        <w:tc>
          <w:tcPr>
            <w:tcW w:w="1250" w:type="pct"/>
            <w:vAlign w:val="center"/>
          </w:tcPr>
          <w:p>
            <w:pPr>
              <w:jc w:val="center"/>
              <w:rPr>
                <w:rFonts w:ascii="宋体" w:hAnsi="宋体" w:eastAsia="宋体" w:cs="宋体"/>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9" w:type="pct"/>
            <w:vAlign w:val="center"/>
          </w:tcPr>
          <w:p>
            <w:pPr>
              <w:jc w:val="center"/>
              <w:rPr>
                <w:rFonts w:ascii="宋体" w:hAnsi="宋体" w:eastAsia="宋体" w:cs="宋体"/>
                <w:sz w:val="30"/>
                <w:szCs w:val="30"/>
              </w:rPr>
            </w:pPr>
            <w:r>
              <w:rPr>
                <w:rFonts w:hint="eastAsia" w:ascii="宋体" w:hAnsi="宋体" w:eastAsia="宋体" w:cs="宋体"/>
                <w:sz w:val="30"/>
                <w:szCs w:val="30"/>
              </w:rPr>
              <w:t>流动性比例</w:t>
            </w:r>
          </w:p>
        </w:tc>
        <w:tc>
          <w:tcPr>
            <w:tcW w:w="1249" w:type="pct"/>
            <w:vAlign w:val="center"/>
          </w:tcPr>
          <w:p>
            <w:pPr>
              <w:jc w:val="center"/>
              <w:rPr>
                <w:rFonts w:ascii="宋体" w:hAnsi="宋体" w:eastAsia="宋体" w:cs="宋体"/>
                <w:sz w:val="30"/>
                <w:szCs w:val="30"/>
              </w:rPr>
            </w:pPr>
          </w:p>
        </w:tc>
        <w:tc>
          <w:tcPr>
            <w:tcW w:w="1250" w:type="pct"/>
            <w:vAlign w:val="center"/>
          </w:tcPr>
          <w:p>
            <w:pPr>
              <w:jc w:val="center"/>
              <w:rPr>
                <w:rFonts w:ascii="宋体" w:hAnsi="宋体" w:eastAsia="宋体" w:cs="宋体"/>
                <w:sz w:val="30"/>
                <w:szCs w:val="30"/>
              </w:rPr>
            </w:pPr>
          </w:p>
        </w:tc>
        <w:tc>
          <w:tcPr>
            <w:tcW w:w="1250" w:type="pct"/>
            <w:vAlign w:val="center"/>
          </w:tcPr>
          <w:p>
            <w:pPr>
              <w:jc w:val="center"/>
              <w:rPr>
                <w:rFonts w:ascii="宋体" w:hAnsi="宋体" w:eastAsia="宋体" w:cs="宋体"/>
                <w:sz w:val="30"/>
                <w:szCs w:val="30"/>
              </w:rPr>
            </w:pPr>
          </w:p>
        </w:tc>
      </w:tr>
    </w:tbl>
    <w:p>
      <w:pPr>
        <w:jc w:val="left"/>
        <w:rPr>
          <w:rFonts w:ascii="宋体" w:hAnsi="宋体" w:eastAsia="宋体" w:cs="宋体"/>
          <w:sz w:val="30"/>
          <w:szCs w:val="30"/>
        </w:rPr>
      </w:pPr>
      <w:r>
        <w:rPr>
          <w:rFonts w:hint="eastAsia" w:ascii="宋体" w:hAnsi="宋体" w:eastAsia="宋体" w:cs="宋体"/>
          <w:sz w:val="30"/>
          <w:szCs w:val="30"/>
        </w:rPr>
        <w:t>注：上表“我行指标”取自</w:t>
      </w:r>
      <w:r>
        <w:rPr>
          <w:rFonts w:hint="eastAsia" w:ascii="宋体" w:hAnsi="宋体" w:eastAsia="宋体" w:cs="宋体"/>
          <w:sz w:val="30"/>
          <w:szCs w:val="30"/>
          <w:u w:val="single"/>
        </w:rPr>
        <w:t xml:space="preserve">      </w:t>
      </w:r>
      <w:r>
        <w:rPr>
          <w:rFonts w:hint="eastAsia" w:ascii="宋体" w:hAnsi="宋体" w:eastAsia="宋体" w:cs="宋体"/>
          <w:sz w:val="30"/>
          <w:szCs w:val="30"/>
        </w:rPr>
        <w:t>20</w:t>
      </w:r>
      <w:r>
        <w:rPr>
          <w:rFonts w:hint="eastAsia" w:ascii="宋体" w:hAnsi="宋体" w:eastAsia="宋体" w:cs="宋体"/>
          <w:sz w:val="30"/>
          <w:szCs w:val="30"/>
          <w:u w:val="single"/>
        </w:rPr>
        <w:t xml:space="preserve">  </w:t>
      </w:r>
      <w:r>
        <w:rPr>
          <w:rFonts w:hint="eastAsia" w:ascii="宋体" w:hAnsi="宋体" w:eastAsia="宋体" w:cs="宋体"/>
          <w:sz w:val="30"/>
          <w:szCs w:val="30"/>
        </w:rPr>
        <w:t>年度审计报告（</w:t>
      </w:r>
      <w:r>
        <w:rPr>
          <w:rFonts w:hint="eastAsia" w:ascii="宋体" w:hAnsi="宋体" w:eastAsia="宋体" w:cs="宋体"/>
          <w:sz w:val="30"/>
          <w:szCs w:val="30"/>
          <w:u w:val="single"/>
        </w:rPr>
        <w:t xml:space="preserve">   </w:t>
      </w:r>
      <w:r>
        <w:rPr>
          <w:rFonts w:hint="eastAsia" w:ascii="宋体" w:hAnsi="宋体" w:eastAsia="宋体" w:cs="宋体"/>
          <w:sz w:val="30"/>
          <w:szCs w:val="30"/>
        </w:rPr>
        <w:t>号）。</w:t>
      </w:r>
    </w:p>
    <w:p>
      <w:pPr>
        <w:pStyle w:val="2"/>
        <w:ind w:firstLine="300"/>
        <w:rPr>
          <w:rFonts w:ascii="宋体" w:hAnsi="宋体" w:eastAsia="宋体" w:cs="宋体"/>
          <w:sz w:val="30"/>
          <w:szCs w:val="30"/>
        </w:rPr>
      </w:pPr>
    </w:p>
    <w:p>
      <w:pPr>
        <w:pStyle w:val="4"/>
        <w:rPr>
          <w:rFonts w:ascii="宋体" w:hAnsi="宋体" w:eastAsia="宋体" w:cs="宋体"/>
          <w:sz w:val="30"/>
          <w:szCs w:val="30"/>
        </w:rPr>
      </w:pPr>
    </w:p>
    <w:p>
      <w:pPr>
        <w:widowControl/>
        <w:shd w:val="clear" w:color="auto" w:fill="FFFFFF"/>
        <w:spacing w:line="360" w:lineRule="auto"/>
        <w:jc w:val="center"/>
        <w:rPr>
          <w:rFonts w:ascii="宋体" w:hAnsi="宋体" w:eastAsia="宋体" w:cs="宋体"/>
          <w:kern w:val="0"/>
          <w:sz w:val="30"/>
          <w:szCs w:val="30"/>
        </w:rPr>
      </w:pPr>
      <w:r>
        <w:rPr>
          <w:rFonts w:hint="eastAsia" w:ascii="宋体" w:hAnsi="宋体" w:eastAsia="宋体" w:cs="宋体"/>
          <w:kern w:val="0"/>
          <w:sz w:val="30"/>
          <w:szCs w:val="30"/>
        </w:rPr>
        <w:t xml:space="preserve">                            银行（公章）</w:t>
      </w:r>
    </w:p>
    <w:p>
      <w:pPr>
        <w:widowControl/>
        <w:shd w:val="clear" w:color="auto" w:fill="FFFFFF"/>
        <w:spacing w:line="360" w:lineRule="auto"/>
        <w:jc w:val="right"/>
        <w:rPr>
          <w:rFonts w:ascii="宋体" w:hAnsi="宋体" w:eastAsia="宋体" w:cs="宋体"/>
          <w:kern w:val="0"/>
          <w:sz w:val="30"/>
          <w:szCs w:val="30"/>
        </w:rPr>
      </w:pPr>
      <w:r>
        <w:rPr>
          <w:rFonts w:hint="eastAsia" w:ascii="宋体" w:hAnsi="宋体" w:eastAsia="宋体" w:cs="宋体"/>
          <w:kern w:val="0"/>
          <w:sz w:val="30"/>
          <w:szCs w:val="30"/>
        </w:rPr>
        <w:t>                      日期：  年  月  日</w:t>
      </w:r>
    </w:p>
    <w:p>
      <w:pPr>
        <w:jc w:val="right"/>
        <w:rPr>
          <w:sz w:val="32"/>
          <w:szCs w:val="32"/>
        </w:rPr>
      </w:pPr>
    </w:p>
    <w:p>
      <w:pPr>
        <w:rPr>
          <w:rFonts w:ascii="宋体" w:hAnsi="宋体" w:eastAsia="宋体" w:cs="Times New Roman"/>
          <w:b/>
          <w:kern w:val="0"/>
          <w:sz w:val="30"/>
          <w:szCs w:val="30"/>
        </w:rPr>
      </w:pPr>
    </w:p>
    <w:p>
      <w:pPr>
        <w:rPr>
          <w:rFonts w:ascii="宋体" w:hAnsi="宋体" w:eastAsia="宋体" w:cs="Times New Roman"/>
          <w:b/>
          <w:kern w:val="0"/>
          <w:sz w:val="30"/>
          <w:szCs w:val="30"/>
        </w:rPr>
      </w:pPr>
      <w:r>
        <w:rPr>
          <w:rFonts w:hint="eastAsia" w:ascii="宋体" w:hAnsi="宋体" w:eastAsia="宋体" w:cs="Times New Roman"/>
          <w:b/>
          <w:kern w:val="0"/>
          <w:sz w:val="30"/>
          <w:szCs w:val="30"/>
        </w:rPr>
        <w:br w:type="page"/>
      </w:r>
    </w:p>
    <w:p>
      <w:pPr>
        <w:widowControl/>
        <w:overflowPunct w:val="0"/>
        <w:autoSpaceDE w:val="0"/>
        <w:autoSpaceDN w:val="0"/>
        <w:adjustRightInd w:val="0"/>
        <w:spacing w:line="450" w:lineRule="atLeast"/>
        <w:textAlignment w:val="baseline"/>
        <w:outlineLvl w:val="0"/>
        <w:rPr>
          <w:rFonts w:ascii="宋体" w:hAnsi="宋体" w:eastAsia="宋体" w:cs="Times New Roman"/>
          <w:b/>
          <w:kern w:val="0"/>
          <w:sz w:val="30"/>
          <w:szCs w:val="30"/>
        </w:rPr>
      </w:pPr>
      <w:bookmarkStart w:id="9" w:name="_Toc6150"/>
      <w:r>
        <w:rPr>
          <w:rFonts w:hint="eastAsia" w:ascii="宋体" w:hAnsi="宋体" w:eastAsia="宋体" w:cs="Times New Roman"/>
          <w:b/>
          <w:kern w:val="0"/>
          <w:sz w:val="30"/>
          <w:szCs w:val="30"/>
        </w:rPr>
        <w:t xml:space="preserve">附件五  </w:t>
      </w:r>
      <w:bookmarkStart w:id="10" w:name="_Toc25565"/>
      <w:r>
        <w:rPr>
          <w:rFonts w:hint="eastAsia" w:ascii="宋体" w:hAnsi="宋体" w:eastAsia="宋体" w:cs="Times New Roman"/>
          <w:b/>
          <w:kern w:val="0"/>
          <w:sz w:val="30"/>
          <w:szCs w:val="30"/>
        </w:rPr>
        <w:t>贷款不良率指标及日常服务承诺表</w:t>
      </w:r>
      <w:bookmarkEnd w:id="9"/>
      <w:bookmarkEnd w:id="10"/>
    </w:p>
    <w:p>
      <w:pPr>
        <w:pStyle w:val="2"/>
        <w:ind w:firstLine="210"/>
      </w:pPr>
    </w:p>
    <w:p>
      <w:pPr>
        <w:pStyle w:val="4"/>
        <w:jc w:val="center"/>
      </w:pPr>
      <w:r>
        <w:rPr>
          <w:rFonts w:hint="eastAsia" w:ascii="宋体" w:hAnsi="宋体" w:eastAsia="宋体" w:cs="Times New Roman"/>
          <w:b/>
          <w:kern w:val="0"/>
          <w:sz w:val="30"/>
          <w:szCs w:val="30"/>
        </w:rPr>
        <w:t>贷款不良率指标及日常服务承诺表</w:t>
      </w:r>
    </w:p>
    <w:p>
      <w:pPr>
        <w:spacing w:line="460" w:lineRule="exact"/>
        <w:rPr>
          <w:rFonts w:ascii="宋体" w:hAnsi="宋体" w:eastAsia="宋体" w:cs="宋体"/>
          <w:b/>
          <w:sz w:val="30"/>
          <w:szCs w:val="30"/>
        </w:rPr>
      </w:pPr>
      <w:r>
        <w:rPr>
          <w:rFonts w:hint="eastAsia" w:ascii="宋体" w:hAnsi="宋体" w:eastAsia="宋体" w:cs="宋体"/>
          <w:b/>
          <w:sz w:val="30"/>
          <w:szCs w:val="30"/>
        </w:rPr>
        <w:t>项目名称：                                            项目编号：</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6988"/>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0" w:type="pct"/>
            <w:gridSpan w:val="3"/>
            <w:vAlign w:val="center"/>
          </w:tcPr>
          <w:p>
            <w:pPr>
              <w:spacing w:line="460" w:lineRule="exact"/>
              <w:jc w:val="center"/>
              <w:rPr>
                <w:rFonts w:ascii="宋体" w:hAnsi="宋体" w:eastAsia="宋体" w:cs="仿宋_GB2312"/>
                <w:b/>
                <w:bCs/>
                <w:kern w:val="0"/>
                <w:sz w:val="30"/>
                <w:szCs w:val="30"/>
              </w:rPr>
            </w:pPr>
            <w:r>
              <w:rPr>
                <w:rFonts w:hint="eastAsia" w:ascii="宋体" w:hAnsi="宋体" w:eastAsia="宋体" w:cs="仿宋_GB2312"/>
                <w:b/>
                <w:bCs/>
                <w:kern w:val="0"/>
                <w:sz w:val="30"/>
                <w:szCs w:val="30"/>
              </w:rPr>
              <w:t>一、贷款不良率指标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1" w:type="pct"/>
            <w:vAlign w:val="center"/>
          </w:tcPr>
          <w:p>
            <w:pPr>
              <w:spacing w:line="300" w:lineRule="exact"/>
              <w:jc w:val="center"/>
              <w:rPr>
                <w:rFonts w:ascii="宋体" w:hAnsi="宋体" w:eastAsia="宋体" w:cs="宋体"/>
                <w:b/>
                <w:sz w:val="30"/>
                <w:szCs w:val="30"/>
              </w:rPr>
            </w:pPr>
            <w:r>
              <w:rPr>
                <w:rFonts w:hint="eastAsia" w:ascii="宋体" w:hAnsi="宋体" w:eastAsia="宋体" w:cs="宋体"/>
                <w:b/>
                <w:sz w:val="30"/>
                <w:szCs w:val="30"/>
              </w:rPr>
              <w:t>序号</w:t>
            </w:r>
          </w:p>
        </w:tc>
        <w:tc>
          <w:tcPr>
            <w:tcW w:w="3547" w:type="pct"/>
            <w:vAlign w:val="center"/>
          </w:tcPr>
          <w:p>
            <w:pPr>
              <w:spacing w:line="300" w:lineRule="exact"/>
              <w:jc w:val="center"/>
              <w:rPr>
                <w:rFonts w:ascii="宋体" w:hAnsi="宋体" w:eastAsia="宋体" w:cs="宋体"/>
                <w:b/>
                <w:sz w:val="30"/>
                <w:szCs w:val="30"/>
              </w:rPr>
            </w:pPr>
            <w:r>
              <w:rPr>
                <w:rFonts w:hint="eastAsia" w:ascii="宋体" w:hAnsi="宋体" w:eastAsia="宋体" w:cs="宋体"/>
                <w:b/>
                <w:sz w:val="30"/>
                <w:szCs w:val="30"/>
              </w:rPr>
              <w:t>服务内容</w:t>
            </w:r>
          </w:p>
        </w:tc>
        <w:tc>
          <w:tcPr>
            <w:tcW w:w="1082" w:type="pct"/>
            <w:vAlign w:val="center"/>
          </w:tcPr>
          <w:p>
            <w:pPr>
              <w:spacing w:line="300" w:lineRule="exact"/>
              <w:jc w:val="center"/>
              <w:rPr>
                <w:rFonts w:ascii="宋体" w:hAnsi="宋体" w:eastAsia="宋体" w:cs="宋体"/>
                <w:b/>
                <w:sz w:val="30"/>
                <w:szCs w:val="30"/>
              </w:rPr>
            </w:pPr>
            <w:r>
              <w:rPr>
                <w:rFonts w:hint="eastAsia" w:ascii="宋体" w:hAnsi="宋体" w:eastAsia="宋体" w:cs="宋体"/>
                <w:b/>
                <w:sz w:val="30"/>
                <w:szCs w:val="30"/>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1" w:type="pct"/>
            <w:vAlign w:val="center"/>
          </w:tcPr>
          <w:p>
            <w:pPr>
              <w:spacing w:line="300" w:lineRule="exact"/>
              <w:jc w:val="center"/>
              <w:rPr>
                <w:rFonts w:ascii="宋体" w:hAnsi="宋体" w:eastAsia="宋体" w:cs="宋体"/>
                <w:b/>
                <w:sz w:val="30"/>
                <w:szCs w:val="30"/>
              </w:rPr>
            </w:pPr>
            <w:r>
              <w:rPr>
                <w:rFonts w:hint="eastAsia" w:ascii="宋体" w:hAnsi="宋体" w:eastAsia="宋体" w:cs="宋体"/>
                <w:b/>
                <w:sz w:val="30"/>
                <w:szCs w:val="30"/>
              </w:rPr>
              <w:t>1</w:t>
            </w:r>
          </w:p>
        </w:tc>
        <w:tc>
          <w:tcPr>
            <w:tcW w:w="3547" w:type="pct"/>
            <w:vAlign w:val="center"/>
          </w:tcPr>
          <w:p>
            <w:pPr>
              <w:spacing w:line="300" w:lineRule="exact"/>
              <w:jc w:val="center"/>
              <w:rPr>
                <w:rFonts w:ascii="宋体" w:hAnsi="宋体" w:eastAsia="宋体" w:cs="宋体"/>
                <w:b/>
                <w:sz w:val="30"/>
                <w:szCs w:val="30"/>
              </w:rPr>
            </w:pPr>
            <w:r>
              <w:rPr>
                <w:rFonts w:hint="eastAsia" w:ascii="宋体" w:hAnsi="宋体" w:eastAsia="宋体" w:cs="宋体"/>
                <w:b/>
                <w:sz w:val="30"/>
                <w:szCs w:val="30"/>
              </w:rPr>
              <w:t>竞标银行县人行</w:t>
            </w:r>
            <w:r>
              <w:rPr>
                <w:rFonts w:ascii="宋体" w:hAnsi="宋体" w:eastAsia="宋体" w:cs="宋体"/>
                <w:b/>
                <w:sz w:val="30"/>
                <w:szCs w:val="30"/>
              </w:rPr>
              <w:t>2023年9月份人民币贷款不良率</w:t>
            </w:r>
          </w:p>
        </w:tc>
        <w:tc>
          <w:tcPr>
            <w:tcW w:w="1082" w:type="pct"/>
            <w:vAlign w:val="center"/>
          </w:tcPr>
          <w:p>
            <w:pPr>
              <w:spacing w:line="300" w:lineRule="exact"/>
              <w:jc w:val="center"/>
              <w:rPr>
                <w:rFonts w:ascii="宋体" w:hAnsi="宋体" w:eastAsia="宋体" w:cs="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0" w:type="pct"/>
            <w:gridSpan w:val="3"/>
            <w:vAlign w:val="center"/>
          </w:tcPr>
          <w:p>
            <w:pPr>
              <w:spacing w:line="300" w:lineRule="exact"/>
              <w:jc w:val="center"/>
              <w:rPr>
                <w:rFonts w:ascii="宋体" w:hAnsi="宋体" w:eastAsia="宋体" w:cs="宋体"/>
                <w:b/>
                <w:sz w:val="30"/>
                <w:szCs w:val="30"/>
              </w:rPr>
            </w:pPr>
            <w:bookmarkStart w:id="11" w:name="_Toc4348"/>
            <w:bookmarkStart w:id="12" w:name="_Toc9073"/>
            <w:bookmarkStart w:id="13" w:name="_Toc9658"/>
            <w:bookmarkStart w:id="14" w:name="_Toc11255"/>
            <w:r>
              <w:rPr>
                <w:rFonts w:hint="eastAsia" w:ascii="宋体" w:hAnsi="宋体" w:eastAsia="宋体" w:cs="宋体"/>
                <w:b/>
                <w:sz w:val="30"/>
                <w:szCs w:val="30"/>
              </w:rPr>
              <w:t>二、日常服务承诺指标</w:t>
            </w:r>
            <w:bookmarkEnd w:id="11"/>
            <w:bookmarkEnd w:id="12"/>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1" w:type="pct"/>
            <w:vAlign w:val="center"/>
          </w:tcPr>
          <w:p>
            <w:pPr>
              <w:spacing w:line="300" w:lineRule="exact"/>
              <w:jc w:val="center"/>
              <w:rPr>
                <w:rFonts w:ascii="宋体" w:hAnsi="宋体" w:eastAsia="宋体" w:cs="宋体"/>
                <w:b/>
                <w:sz w:val="30"/>
                <w:szCs w:val="30"/>
              </w:rPr>
            </w:pPr>
            <w:r>
              <w:rPr>
                <w:rFonts w:hint="eastAsia" w:ascii="宋体" w:hAnsi="宋体" w:eastAsia="宋体" w:cs="宋体"/>
                <w:b/>
                <w:sz w:val="30"/>
                <w:szCs w:val="30"/>
              </w:rPr>
              <w:t>序号</w:t>
            </w:r>
          </w:p>
        </w:tc>
        <w:tc>
          <w:tcPr>
            <w:tcW w:w="3547" w:type="pct"/>
            <w:vAlign w:val="center"/>
          </w:tcPr>
          <w:p>
            <w:pPr>
              <w:spacing w:line="300" w:lineRule="exact"/>
              <w:jc w:val="center"/>
              <w:rPr>
                <w:rFonts w:ascii="宋体" w:hAnsi="宋体" w:eastAsia="宋体" w:cs="宋体"/>
                <w:b/>
                <w:sz w:val="30"/>
                <w:szCs w:val="30"/>
              </w:rPr>
            </w:pPr>
            <w:r>
              <w:rPr>
                <w:rFonts w:hint="eastAsia" w:ascii="宋体" w:hAnsi="宋体" w:eastAsia="宋体" w:cs="宋体"/>
                <w:b/>
                <w:sz w:val="30"/>
                <w:szCs w:val="30"/>
              </w:rPr>
              <w:t>服务内容</w:t>
            </w:r>
          </w:p>
        </w:tc>
        <w:tc>
          <w:tcPr>
            <w:tcW w:w="1082" w:type="pct"/>
            <w:vAlign w:val="center"/>
          </w:tcPr>
          <w:p>
            <w:pPr>
              <w:spacing w:line="300" w:lineRule="exact"/>
              <w:jc w:val="center"/>
              <w:rPr>
                <w:rFonts w:ascii="宋体" w:hAnsi="宋体" w:eastAsia="宋体" w:cs="宋体"/>
                <w:b/>
                <w:sz w:val="30"/>
                <w:szCs w:val="30"/>
              </w:rPr>
            </w:pPr>
            <w:r>
              <w:rPr>
                <w:rFonts w:hint="eastAsia" w:ascii="宋体" w:hAnsi="宋体" w:eastAsia="宋体" w:cs="宋体"/>
                <w:b/>
                <w:sz w:val="30"/>
                <w:szCs w:val="30"/>
              </w:rPr>
              <w:t>是否承诺（是或否）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1" w:type="pct"/>
            <w:vAlign w:val="center"/>
          </w:tcPr>
          <w:p>
            <w:pPr>
              <w:spacing w:line="300" w:lineRule="exact"/>
              <w:jc w:val="center"/>
              <w:rPr>
                <w:rFonts w:ascii="宋体" w:hAnsi="宋体" w:eastAsia="宋体" w:cs="宋体"/>
                <w:sz w:val="30"/>
                <w:szCs w:val="30"/>
              </w:rPr>
            </w:pPr>
            <w:r>
              <w:rPr>
                <w:rFonts w:hint="eastAsia" w:ascii="宋体" w:hAnsi="宋体" w:eastAsia="宋体" w:cs="宋体"/>
                <w:sz w:val="30"/>
                <w:szCs w:val="30"/>
              </w:rPr>
              <w:t>a</w:t>
            </w:r>
          </w:p>
        </w:tc>
        <w:tc>
          <w:tcPr>
            <w:tcW w:w="3547" w:type="pct"/>
            <w:vAlign w:val="center"/>
          </w:tcPr>
          <w:p>
            <w:pPr>
              <w:spacing w:line="600" w:lineRule="exact"/>
              <w:rPr>
                <w:rFonts w:ascii="宋体" w:hAnsi="宋体" w:eastAsia="宋体" w:cs="宋体"/>
                <w:bCs/>
                <w:sz w:val="30"/>
                <w:szCs w:val="30"/>
                <w:lang w:eastAsia="zh-TW"/>
              </w:rPr>
            </w:pPr>
            <w:r>
              <w:rPr>
                <w:rFonts w:hint="eastAsia" w:ascii="宋体" w:hAnsi="宋体" w:eastAsia="宋体" w:cs="宋体"/>
                <w:sz w:val="30"/>
                <w:szCs w:val="30"/>
              </w:rPr>
              <w:t>承诺基本信息提供及时；</w:t>
            </w:r>
          </w:p>
        </w:tc>
        <w:tc>
          <w:tcPr>
            <w:tcW w:w="1082" w:type="pct"/>
            <w:vAlign w:val="center"/>
          </w:tcPr>
          <w:p>
            <w:pPr>
              <w:spacing w:line="300" w:lineRule="exact"/>
              <w:ind w:right="441"/>
              <w:jc w:val="right"/>
              <w:rPr>
                <w:rFonts w:ascii="宋体" w:hAnsi="宋体" w:eastAsia="宋体" w:cs="宋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1" w:type="pct"/>
            <w:vAlign w:val="center"/>
          </w:tcPr>
          <w:p>
            <w:pPr>
              <w:spacing w:line="300" w:lineRule="exact"/>
              <w:jc w:val="center"/>
              <w:rPr>
                <w:rFonts w:ascii="宋体" w:hAnsi="宋体" w:eastAsia="宋体" w:cs="宋体"/>
                <w:sz w:val="30"/>
                <w:szCs w:val="30"/>
              </w:rPr>
            </w:pPr>
            <w:r>
              <w:rPr>
                <w:rFonts w:hint="eastAsia" w:ascii="宋体" w:hAnsi="宋体" w:eastAsia="宋体" w:cs="宋体"/>
                <w:sz w:val="30"/>
                <w:szCs w:val="30"/>
              </w:rPr>
              <w:t>b</w:t>
            </w:r>
          </w:p>
        </w:tc>
        <w:tc>
          <w:tcPr>
            <w:tcW w:w="3547" w:type="pct"/>
            <w:vAlign w:val="center"/>
          </w:tcPr>
          <w:p>
            <w:pPr>
              <w:spacing w:line="600" w:lineRule="exact"/>
              <w:rPr>
                <w:rFonts w:ascii="宋体" w:hAnsi="宋体" w:eastAsia="宋体" w:cs="宋体"/>
                <w:bCs/>
                <w:sz w:val="30"/>
                <w:szCs w:val="30"/>
              </w:rPr>
            </w:pPr>
            <w:r>
              <w:rPr>
                <w:rFonts w:hint="eastAsia" w:ascii="宋体" w:hAnsi="宋体" w:eastAsia="宋体" w:cs="宋体"/>
                <w:sz w:val="30"/>
                <w:szCs w:val="30"/>
              </w:rPr>
              <w:t>承诺提供上门服务；</w:t>
            </w:r>
          </w:p>
        </w:tc>
        <w:tc>
          <w:tcPr>
            <w:tcW w:w="1082" w:type="pct"/>
            <w:vAlign w:val="center"/>
          </w:tcPr>
          <w:p>
            <w:pPr>
              <w:spacing w:line="300" w:lineRule="exact"/>
              <w:ind w:right="441"/>
              <w:jc w:val="right"/>
              <w:rPr>
                <w:rFonts w:ascii="宋体" w:hAnsi="宋体" w:eastAsia="宋体" w:cs="宋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1" w:type="pct"/>
            <w:vAlign w:val="center"/>
          </w:tcPr>
          <w:p>
            <w:pPr>
              <w:spacing w:line="300" w:lineRule="exact"/>
              <w:jc w:val="center"/>
              <w:rPr>
                <w:rFonts w:ascii="宋体" w:hAnsi="宋体" w:eastAsia="宋体" w:cs="宋体"/>
                <w:sz w:val="30"/>
                <w:szCs w:val="30"/>
              </w:rPr>
            </w:pPr>
            <w:r>
              <w:rPr>
                <w:rFonts w:hint="eastAsia" w:ascii="宋体" w:hAnsi="宋体" w:eastAsia="宋体" w:cs="宋体"/>
                <w:sz w:val="30"/>
                <w:szCs w:val="30"/>
              </w:rPr>
              <w:t>c</w:t>
            </w:r>
          </w:p>
        </w:tc>
        <w:tc>
          <w:tcPr>
            <w:tcW w:w="3547" w:type="pct"/>
            <w:vAlign w:val="center"/>
          </w:tcPr>
          <w:p>
            <w:pPr>
              <w:spacing w:line="600" w:lineRule="exact"/>
              <w:rPr>
                <w:rFonts w:ascii="宋体" w:hAnsi="宋体" w:eastAsia="宋体" w:cs="宋体"/>
                <w:bCs/>
                <w:sz w:val="30"/>
                <w:szCs w:val="30"/>
              </w:rPr>
            </w:pPr>
            <w:r>
              <w:rPr>
                <w:rFonts w:hint="eastAsia" w:ascii="宋体" w:hAnsi="宋体" w:eastAsia="宋体" w:cs="宋体"/>
                <w:sz w:val="30"/>
                <w:szCs w:val="30"/>
              </w:rPr>
              <w:t>承诺自收的各项服务费用全免；</w:t>
            </w:r>
          </w:p>
        </w:tc>
        <w:tc>
          <w:tcPr>
            <w:tcW w:w="1082" w:type="pct"/>
            <w:vAlign w:val="center"/>
          </w:tcPr>
          <w:p>
            <w:pPr>
              <w:spacing w:line="300" w:lineRule="exact"/>
              <w:ind w:right="441"/>
              <w:jc w:val="right"/>
              <w:rPr>
                <w:rFonts w:ascii="宋体" w:hAnsi="宋体" w:eastAsia="宋体" w:cs="宋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1" w:type="pct"/>
            <w:vAlign w:val="center"/>
          </w:tcPr>
          <w:p>
            <w:pPr>
              <w:spacing w:line="300" w:lineRule="exact"/>
              <w:jc w:val="center"/>
              <w:rPr>
                <w:rFonts w:ascii="宋体" w:hAnsi="宋体" w:eastAsia="宋体" w:cs="宋体"/>
                <w:sz w:val="30"/>
                <w:szCs w:val="30"/>
              </w:rPr>
            </w:pPr>
            <w:r>
              <w:rPr>
                <w:rFonts w:hint="eastAsia" w:ascii="宋体" w:hAnsi="宋体" w:eastAsia="宋体" w:cs="宋体"/>
                <w:sz w:val="30"/>
                <w:szCs w:val="30"/>
              </w:rPr>
              <w:t>d</w:t>
            </w:r>
          </w:p>
        </w:tc>
        <w:tc>
          <w:tcPr>
            <w:tcW w:w="3547" w:type="pct"/>
            <w:vAlign w:val="center"/>
          </w:tcPr>
          <w:p>
            <w:pPr>
              <w:spacing w:line="600" w:lineRule="exact"/>
              <w:rPr>
                <w:rFonts w:ascii="宋体" w:hAnsi="宋体" w:eastAsia="宋体" w:cs="宋体"/>
                <w:bCs/>
                <w:sz w:val="30"/>
                <w:szCs w:val="30"/>
              </w:rPr>
            </w:pPr>
            <w:r>
              <w:rPr>
                <w:rFonts w:hint="eastAsia" w:ascii="宋体" w:hAnsi="宋体" w:eastAsia="宋体" w:cs="宋体"/>
                <w:sz w:val="30"/>
                <w:szCs w:val="30"/>
              </w:rPr>
              <w:t>承诺资金及时到账；</w:t>
            </w:r>
          </w:p>
        </w:tc>
        <w:tc>
          <w:tcPr>
            <w:tcW w:w="1082" w:type="pct"/>
            <w:vAlign w:val="center"/>
          </w:tcPr>
          <w:p>
            <w:pPr>
              <w:spacing w:line="300" w:lineRule="exact"/>
              <w:ind w:right="441"/>
              <w:jc w:val="right"/>
              <w:rPr>
                <w:rFonts w:ascii="宋体" w:hAnsi="宋体" w:eastAsia="宋体" w:cs="宋体"/>
                <w:bCs/>
                <w:sz w:val="30"/>
                <w:szCs w:val="30"/>
              </w:rPr>
            </w:pPr>
          </w:p>
        </w:tc>
      </w:tr>
    </w:tbl>
    <w:p>
      <w:pPr>
        <w:spacing w:line="440" w:lineRule="exact"/>
        <w:ind w:firstLine="6000" w:firstLineChars="2000"/>
        <w:rPr>
          <w:rFonts w:ascii="宋体" w:hAnsi="宋体" w:eastAsia="宋体" w:cs="宋体"/>
          <w:sz w:val="30"/>
          <w:szCs w:val="30"/>
        </w:rPr>
      </w:pPr>
    </w:p>
    <w:p>
      <w:pPr>
        <w:spacing w:line="440" w:lineRule="exact"/>
        <w:ind w:firstLine="6000" w:firstLineChars="2000"/>
        <w:rPr>
          <w:rFonts w:ascii="宋体" w:hAnsi="宋体" w:eastAsia="宋体" w:cs="宋体"/>
          <w:sz w:val="30"/>
          <w:szCs w:val="30"/>
        </w:rPr>
      </w:pPr>
    </w:p>
    <w:p>
      <w:pPr>
        <w:spacing w:line="440" w:lineRule="exact"/>
        <w:ind w:firstLine="1200" w:firstLineChars="400"/>
        <w:rPr>
          <w:rFonts w:ascii="宋体" w:hAnsi="宋体" w:eastAsia="宋体" w:cs="宋体"/>
          <w:sz w:val="30"/>
          <w:szCs w:val="30"/>
        </w:rPr>
      </w:pPr>
      <w:r>
        <w:rPr>
          <w:rFonts w:hint="eastAsia" w:ascii="宋体" w:hAnsi="宋体" w:eastAsia="宋体" w:cs="宋体"/>
          <w:sz w:val="30"/>
          <w:szCs w:val="30"/>
        </w:rPr>
        <w:t>投标人全称（盖章）：</w:t>
      </w:r>
    </w:p>
    <w:p>
      <w:pPr>
        <w:spacing w:line="440" w:lineRule="exact"/>
        <w:ind w:firstLine="1200" w:firstLineChars="400"/>
        <w:rPr>
          <w:rFonts w:ascii="宋体" w:hAnsi="宋体" w:eastAsia="宋体" w:cs="宋体"/>
          <w:sz w:val="30"/>
          <w:szCs w:val="30"/>
        </w:rPr>
      </w:pPr>
      <w:r>
        <w:rPr>
          <w:rFonts w:hint="eastAsia" w:ascii="宋体" w:hAnsi="宋体" w:eastAsia="宋体" w:cs="宋体"/>
          <w:sz w:val="30"/>
          <w:szCs w:val="30"/>
        </w:rPr>
        <w:t>法定代表人（负责人）或授权代表（签字或盖章）：</w:t>
      </w:r>
    </w:p>
    <w:p>
      <w:pPr>
        <w:spacing w:line="440" w:lineRule="exact"/>
        <w:ind w:firstLine="1200" w:firstLineChars="400"/>
        <w:rPr>
          <w:rFonts w:ascii="宋体" w:hAnsi="宋体" w:eastAsia="宋体" w:cs="宋体"/>
          <w:sz w:val="30"/>
          <w:szCs w:val="30"/>
        </w:rPr>
      </w:pPr>
      <w:r>
        <w:rPr>
          <w:rFonts w:hint="eastAsia" w:ascii="宋体" w:hAnsi="宋体" w:eastAsia="宋体" w:cs="宋体"/>
          <w:sz w:val="30"/>
          <w:szCs w:val="30"/>
        </w:rPr>
        <w:t>日期：      年     月    日</w:t>
      </w:r>
    </w:p>
    <w:p>
      <w:pPr>
        <w:rPr>
          <w:rFonts w:ascii="宋体" w:hAnsi="宋体" w:eastAsia="宋体" w:cs="Times New Roman"/>
          <w:b/>
          <w:kern w:val="0"/>
          <w:sz w:val="30"/>
          <w:szCs w:val="30"/>
        </w:rPr>
      </w:pPr>
    </w:p>
    <w:p>
      <w:pPr>
        <w:rPr>
          <w:rFonts w:ascii="宋体" w:hAnsi="宋体" w:eastAsia="宋体" w:cs="Times New Roman"/>
          <w:b/>
          <w:kern w:val="0"/>
          <w:sz w:val="30"/>
          <w:szCs w:val="30"/>
        </w:rPr>
      </w:pPr>
      <w:bookmarkStart w:id="15" w:name="_Toc18445"/>
      <w:r>
        <w:rPr>
          <w:rFonts w:hint="eastAsia" w:ascii="宋体" w:hAnsi="宋体" w:eastAsia="宋体" w:cs="Times New Roman"/>
          <w:b/>
          <w:kern w:val="0"/>
          <w:sz w:val="30"/>
          <w:szCs w:val="30"/>
        </w:rPr>
        <w:br w:type="page"/>
      </w:r>
    </w:p>
    <w:p>
      <w:pPr>
        <w:widowControl/>
        <w:overflowPunct w:val="0"/>
        <w:autoSpaceDE w:val="0"/>
        <w:autoSpaceDN w:val="0"/>
        <w:adjustRightInd w:val="0"/>
        <w:spacing w:line="450" w:lineRule="atLeast"/>
        <w:textAlignment w:val="baseline"/>
        <w:outlineLvl w:val="0"/>
        <w:rPr>
          <w:rFonts w:ascii="宋体" w:hAnsi="宋体" w:eastAsia="宋体" w:cs="宋体"/>
          <w:b/>
          <w:bCs/>
          <w:kern w:val="0"/>
          <w:sz w:val="30"/>
          <w:szCs w:val="30"/>
        </w:rPr>
      </w:pPr>
      <w:bookmarkStart w:id="16" w:name="_Toc30374"/>
      <w:r>
        <w:rPr>
          <w:rFonts w:hint="eastAsia" w:ascii="宋体" w:hAnsi="宋体" w:eastAsia="宋体" w:cs="Times New Roman"/>
          <w:b/>
          <w:kern w:val="0"/>
          <w:sz w:val="30"/>
          <w:szCs w:val="30"/>
        </w:rPr>
        <w:t xml:space="preserve">附件六 </w:t>
      </w:r>
      <w:bookmarkEnd w:id="15"/>
      <w:r>
        <w:rPr>
          <w:rFonts w:hint="eastAsia" w:ascii="宋体" w:hAnsi="宋体" w:eastAsia="宋体" w:cs="Times New Roman"/>
          <w:b/>
          <w:kern w:val="0"/>
          <w:sz w:val="30"/>
          <w:szCs w:val="30"/>
        </w:rPr>
        <w:t>法定代表人（负责人）授权书</w:t>
      </w:r>
      <w:bookmarkEnd w:id="16"/>
    </w:p>
    <w:p>
      <w:pPr>
        <w:spacing w:before="240" w:after="60"/>
        <w:jc w:val="center"/>
        <w:outlineLvl w:val="0"/>
        <w:rPr>
          <w:rFonts w:ascii="宋体" w:hAnsi="宋体" w:eastAsia="宋体" w:cs="Times New Roman"/>
          <w:b/>
          <w:bCs/>
          <w:sz w:val="30"/>
          <w:szCs w:val="30"/>
        </w:rPr>
      </w:pPr>
      <w:bookmarkStart w:id="17" w:name="_Toc43053614"/>
      <w:bookmarkStart w:id="18" w:name="_Toc511045483"/>
      <w:bookmarkStart w:id="19" w:name="_Toc518512536"/>
      <w:bookmarkStart w:id="20" w:name="_Toc9334951"/>
      <w:bookmarkStart w:id="21" w:name="_Toc42863134"/>
      <w:bookmarkStart w:id="22" w:name="_Toc427581337"/>
      <w:bookmarkStart w:id="23" w:name="_Toc26423"/>
      <w:bookmarkStart w:id="24" w:name="_Toc496618934"/>
      <w:bookmarkStart w:id="25" w:name="_Toc95313737"/>
      <w:bookmarkStart w:id="26" w:name="_Toc19204522"/>
      <w:bookmarkStart w:id="27" w:name="_Toc43210576"/>
      <w:bookmarkStart w:id="28" w:name="_Toc43127497"/>
      <w:bookmarkStart w:id="29" w:name="_Toc522469121"/>
      <w:bookmarkStart w:id="30" w:name="_Toc410055446"/>
      <w:bookmarkStart w:id="31" w:name="_Toc24974"/>
      <w:bookmarkStart w:id="32" w:name="_Toc404262445"/>
      <w:bookmarkStart w:id="33" w:name="_Toc42863076"/>
      <w:bookmarkStart w:id="34" w:name="_Toc491606420"/>
      <w:bookmarkStart w:id="35" w:name="_Toc430717503"/>
      <w:bookmarkStart w:id="36" w:name="_Toc402360964"/>
      <w:bookmarkStart w:id="37" w:name="_Toc459450868"/>
      <w:bookmarkStart w:id="38" w:name="_Toc42863038"/>
      <w:bookmarkStart w:id="39" w:name="_Toc459361857"/>
      <w:bookmarkStart w:id="40" w:name="_Toc402361081"/>
      <w:bookmarkStart w:id="41" w:name="_Toc9196"/>
      <w:bookmarkStart w:id="42" w:name="_Toc438150553"/>
      <w:r>
        <w:rPr>
          <w:rFonts w:hint="eastAsia" w:ascii="宋体" w:hAnsi="宋体" w:eastAsia="宋体" w:cs="Times New Roman"/>
          <w:b/>
          <w:bCs/>
          <w:sz w:val="30"/>
          <w:szCs w:val="30"/>
        </w:rPr>
        <w:t>法定代表人（负责人）授权书</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widowControl/>
        <w:overflowPunct w:val="0"/>
        <w:autoSpaceDE w:val="0"/>
        <w:autoSpaceDN w:val="0"/>
        <w:adjustRightInd w:val="0"/>
        <w:spacing w:line="360" w:lineRule="auto"/>
        <w:textAlignment w:val="baseline"/>
        <w:rPr>
          <w:rFonts w:ascii="宋体" w:hAnsi="宋体" w:eastAsia="宋体" w:cs="Times New Roman"/>
          <w:kern w:val="0"/>
          <w:sz w:val="24"/>
          <w:szCs w:val="24"/>
        </w:rPr>
      </w:pPr>
      <w:r>
        <w:rPr>
          <w:rFonts w:hint="eastAsia" w:ascii="宋体" w:hAnsi="宋体" w:eastAsia="宋体" w:cs="Times New Roman"/>
          <w:kern w:val="0"/>
          <w:sz w:val="24"/>
          <w:szCs w:val="24"/>
          <w:u w:val="single"/>
        </w:rPr>
        <w:t>永嘉县人民检察院</w:t>
      </w:r>
      <w:r>
        <w:rPr>
          <w:rFonts w:hint="eastAsia" w:ascii="宋体" w:hAnsi="宋体" w:eastAsia="宋体" w:cs="Times New Roman"/>
          <w:kern w:val="0"/>
          <w:sz w:val="24"/>
          <w:szCs w:val="24"/>
          <w:lang w:val="zh-CN"/>
        </w:rPr>
        <w:t>：</w:t>
      </w:r>
    </w:p>
    <w:p>
      <w:pPr>
        <w:widowControl/>
        <w:overflowPunct w:val="0"/>
        <w:autoSpaceDE w:val="0"/>
        <w:autoSpaceDN w:val="0"/>
        <w:adjustRightInd w:val="0"/>
        <w:spacing w:line="360" w:lineRule="auto"/>
        <w:ind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本授权委托书声明：我</w:t>
      </w:r>
      <w:r>
        <w:rPr>
          <w:rFonts w:hint="eastAsia" w:ascii="宋体" w:hAnsi="宋体" w:eastAsia="宋体" w:cs="Times New Roman"/>
          <w:kern w:val="0"/>
          <w:sz w:val="24"/>
          <w:szCs w:val="24"/>
          <w:u w:val="single"/>
        </w:rPr>
        <w:t xml:space="preserve">  （法定代表人（负责人）姓名）   </w:t>
      </w:r>
      <w:r>
        <w:rPr>
          <w:rFonts w:hint="eastAsia" w:ascii="宋体" w:hAnsi="宋体" w:eastAsia="宋体" w:cs="Times New Roman"/>
          <w:kern w:val="0"/>
          <w:sz w:val="24"/>
          <w:szCs w:val="24"/>
        </w:rPr>
        <w:t>系</w:t>
      </w:r>
      <w:r>
        <w:rPr>
          <w:rFonts w:hint="eastAsia" w:ascii="宋体" w:hAnsi="宋体" w:eastAsia="宋体" w:cs="Times New Roman"/>
          <w:kern w:val="0"/>
          <w:sz w:val="24"/>
          <w:szCs w:val="24"/>
          <w:u w:val="single"/>
        </w:rPr>
        <w:t xml:space="preserve"> （供应商名称）    </w:t>
      </w:r>
      <w:r>
        <w:rPr>
          <w:rFonts w:hint="eastAsia" w:ascii="宋体" w:hAnsi="宋体" w:eastAsia="宋体" w:cs="Times New Roman"/>
          <w:kern w:val="0"/>
          <w:sz w:val="24"/>
          <w:szCs w:val="24"/>
        </w:rPr>
        <w:t>的法定代表人（负责人），现授权委托</w:t>
      </w:r>
      <w:r>
        <w:rPr>
          <w:rFonts w:hint="eastAsia" w:ascii="宋体" w:hAnsi="宋体" w:eastAsia="宋体" w:cs="Times New Roman"/>
          <w:kern w:val="0"/>
          <w:sz w:val="24"/>
          <w:szCs w:val="24"/>
          <w:u w:val="single"/>
        </w:rPr>
        <w:t xml:space="preserve">     （单位名称）   </w:t>
      </w:r>
      <w:r>
        <w:rPr>
          <w:rFonts w:hint="eastAsia" w:ascii="宋体" w:hAnsi="宋体" w:eastAsia="宋体" w:cs="Times New Roman"/>
          <w:kern w:val="0"/>
          <w:sz w:val="24"/>
          <w:szCs w:val="24"/>
        </w:rPr>
        <w:t>的</w:t>
      </w:r>
      <w:r>
        <w:rPr>
          <w:rFonts w:hint="eastAsia" w:ascii="宋体" w:hAnsi="宋体" w:eastAsia="宋体" w:cs="Times New Roman"/>
          <w:kern w:val="0"/>
          <w:sz w:val="24"/>
          <w:szCs w:val="24"/>
          <w:u w:val="single"/>
        </w:rPr>
        <w:t xml:space="preserve">  （授权代表姓名）       </w:t>
      </w:r>
      <w:r>
        <w:rPr>
          <w:rFonts w:hint="eastAsia" w:ascii="宋体" w:hAnsi="宋体" w:eastAsia="宋体" w:cs="Times New Roman"/>
          <w:kern w:val="0"/>
          <w:sz w:val="24"/>
          <w:szCs w:val="24"/>
        </w:rPr>
        <w:t>为我公司法定代表人（负责人）授权代表，参加贵处组织的</w:t>
      </w:r>
      <w:r>
        <w:rPr>
          <w:rFonts w:hint="eastAsia" w:ascii="宋体" w:hAnsi="宋体" w:eastAsia="宋体" w:cs="Times New Roman"/>
          <w:kern w:val="0"/>
          <w:sz w:val="24"/>
          <w:szCs w:val="24"/>
          <w:u w:val="single"/>
        </w:rPr>
        <w:t>永嘉县人民检察院涉案暂扣款专户竞争性开户（项目编号：YJJCY-20231020）</w:t>
      </w:r>
      <w:r>
        <w:rPr>
          <w:rFonts w:hint="eastAsia" w:ascii="宋体" w:hAnsi="宋体" w:eastAsia="宋体" w:cs="Times New Roman"/>
          <w:kern w:val="0"/>
          <w:sz w:val="24"/>
          <w:szCs w:val="24"/>
        </w:rPr>
        <w:t>项目投标，全权处理本次招投标活动中的一切事宜，我承认授权代表全权代表我所签署的本项目的投标文件的内容。</w:t>
      </w:r>
    </w:p>
    <w:p>
      <w:pPr>
        <w:widowControl/>
        <w:overflowPunct w:val="0"/>
        <w:autoSpaceDE w:val="0"/>
        <w:autoSpaceDN w:val="0"/>
        <w:adjustRightInd w:val="0"/>
        <w:spacing w:line="360" w:lineRule="auto"/>
        <w:ind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授权代表无转授权，特此授权</w:t>
      </w:r>
    </w:p>
    <w:p>
      <w:pPr>
        <w:widowControl/>
        <w:overflowPunct w:val="0"/>
        <w:autoSpaceDE w:val="0"/>
        <w:autoSpaceDN w:val="0"/>
        <w:adjustRightInd w:val="0"/>
        <w:spacing w:line="360" w:lineRule="auto"/>
        <w:ind w:left="2100" w:leftChars="1000"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授权代表：</w:t>
      </w:r>
      <w:r>
        <w:rPr>
          <w:rFonts w:hint="eastAsia" w:ascii="宋体" w:hAnsi="宋体" w:eastAsia="宋体" w:cs="Times New Roman"/>
          <w:kern w:val="0"/>
          <w:sz w:val="24"/>
          <w:szCs w:val="24"/>
          <w:u w:val="single"/>
        </w:rPr>
        <w:t xml:space="preserve">  （签字或盖章）    </w:t>
      </w:r>
      <w:r>
        <w:rPr>
          <w:rFonts w:hint="eastAsia" w:ascii="宋体" w:hAnsi="宋体" w:eastAsia="宋体" w:cs="Times New Roman"/>
          <w:kern w:val="0"/>
          <w:sz w:val="24"/>
          <w:szCs w:val="24"/>
        </w:rPr>
        <w:t>性别：______________</w:t>
      </w:r>
      <w:r>
        <w:rPr>
          <w:rFonts w:hint="eastAsia" w:ascii="宋体" w:hAnsi="宋体" w:eastAsia="宋体" w:cs="Times New Roman"/>
          <w:kern w:val="0"/>
          <w:sz w:val="24"/>
          <w:szCs w:val="24"/>
          <w:u w:val="single"/>
        </w:rPr>
        <w:t xml:space="preserve">           </w:t>
      </w:r>
    </w:p>
    <w:p>
      <w:pPr>
        <w:widowControl/>
        <w:overflowPunct w:val="0"/>
        <w:autoSpaceDE w:val="0"/>
        <w:autoSpaceDN w:val="0"/>
        <w:adjustRightInd w:val="0"/>
        <w:spacing w:line="360" w:lineRule="auto"/>
        <w:ind w:left="2100" w:leftChars="1000" w:firstLine="480" w:firstLineChars="200"/>
        <w:textAlignment w:val="baseline"/>
        <w:rPr>
          <w:rFonts w:ascii="宋体" w:hAnsi="宋体" w:eastAsia="宋体" w:cs="Times New Roman"/>
          <w:kern w:val="0"/>
          <w:sz w:val="24"/>
          <w:szCs w:val="24"/>
          <w:u w:val="single"/>
        </w:rPr>
      </w:pPr>
      <w:r>
        <w:rPr>
          <w:rFonts w:hint="eastAsia" w:ascii="宋体" w:hAnsi="宋体" w:eastAsia="宋体" w:cs="Times New Roman"/>
          <w:kern w:val="0"/>
          <w:sz w:val="24"/>
          <w:szCs w:val="24"/>
        </w:rPr>
        <w:t>职务：________________年龄：________________</w:t>
      </w:r>
      <w:r>
        <w:rPr>
          <w:rFonts w:hint="eastAsia" w:ascii="宋体" w:hAnsi="宋体" w:eastAsia="宋体" w:cs="Times New Roman"/>
          <w:kern w:val="0"/>
          <w:sz w:val="24"/>
          <w:szCs w:val="24"/>
          <w:u w:val="single"/>
        </w:rPr>
        <w:t xml:space="preserve">                                  </w:t>
      </w:r>
    </w:p>
    <w:p>
      <w:pPr>
        <w:widowControl/>
        <w:overflowPunct w:val="0"/>
        <w:autoSpaceDE w:val="0"/>
        <w:autoSpaceDN w:val="0"/>
        <w:adjustRightInd w:val="0"/>
        <w:spacing w:line="360" w:lineRule="auto"/>
        <w:ind w:left="2100" w:leftChars="1000"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 xml:space="preserve">详细通讯地址：______________________ </w:t>
      </w:r>
    </w:p>
    <w:p>
      <w:pPr>
        <w:widowControl/>
        <w:overflowPunct w:val="0"/>
        <w:autoSpaceDE w:val="0"/>
        <w:autoSpaceDN w:val="0"/>
        <w:adjustRightInd w:val="0"/>
        <w:spacing w:line="360" w:lineRule="auto"/>
        <w:ind w:left="2100" w:leftChars="1000" w:firstLine="480" w:firstLineChars="200"/>
        <w:textAlignment w:val="baseline"/>
        <w:rPr>
          <w:rFonts w:ascii="宋体" w:hAnsi="宋体" w:eastAsia="宋体" w:cs="Times New Roman"/>
          <w:kern w:val="0"/>
          <w:sz w:val="24"/>
          <w:szCs w:val="24"/>
          <w:u w:val="single"/>
        </w:rPr>
      </w:pPr>
      <w:r>
        <w:rPr>
          <w:rFonts w:hint="eastAsia" w:ascii="宋体" w:hAnsi="宋体" w:eastAsia="宋体" w:cs="Times New Roman"/>
          <w:kern w:val="0"/>
          <w:sz w:val="24"/>
          <w:szCs w:val="24"/>
        </w:rPr>
        <w:t>邮政编码:______________________</w:t>
      </w:r>
    </w:p>
    <w:p>
      <w:pPr>
        <w:widowControl/>
        <w:overflowPunct w:val="0"/>
        <w:autoSpaceDE w:val="0"/>
        <w:autoSpaceDN w:val="0"/>
        <w:adjustRightInd w:val="0"/>
        <w:spacing w:line="360" w:lineRule="auto"/>
        <w:ind w:left="1" w:firstLine="2738" w:firstLineChars="1141"/>
        <w:textAlignment w:val="baseline"/>
        <w:rPr>
          <w:rFonts w:ascii="宋体" w:hAnsi="宋体" w:eastAsia="宋体" w:cs="Times New Roman"/>
          <w:kern w:val="0"/>
          <w:sz w:val="24"/>
          <w:szCs w:val="24"/>
          <w:u w:val="single"/>
        </w:rPr>
      </w:pPr>
      <w:r>
        <w:rPr>
          <w:rFonts w:hint="eastAsia" w:ascii="宋体" w:hAnsi="宋体" w:eastAsia="宋体" w:cs="Times New Roman"/>
          <w:kern w:val="0"/>
          <w:sz w:val="24"/>
          <w:szCs w:val="24"/>
        </w:rPr>
        <w:t>电话：____________ 传真：_________________</w:t>
      </w:r>
    </w:p>
    <w:p>
      <w:pPr>
        <w:widowControl/>
        <w:overflowPunct w:val="0"/>
        <w:autoSpaceDE w:val="0"/>
        <w:autoSpaceDN w:val="0"/>
        <w:adjustRightInd w:val="0"/>
        <w:spacing w:line="360" w:lineRule="auto"/>
        <w:ind w:left="1" w:firstLine="460" w:firstLineChars="192"/>
        <w:textAlignment w:val="baseline"/>
        <w:rPr>
          <w:rFonts w:ascii="宋体" w:hAnsi="宋体" w:eastAsia="宋体" w:cs="Times New Roman"/>
          <w:kern w:val="0"/>
          <w:sz w:val="24"/>
          <w:szCs w:val="24"/>
          <w:u w:val="single"/>
        </w:rPr>
      </w:pPr>
      <w:r>
        <w:rPr>
          <w:rFonts w:hint="eastAsia" w:ascii="宋体" w:hAnsi="宋体" w:eastAsia="宋体" w:cs="Times New Roman"/>
          <w:kern w:val="0"/>
          <w:sz w:val="24"/>
          <w:szCs w:val="24"/>
        </w:rPr>
        <w:t xml:space="preserve">                   投标人：___________________</w:t>
      </w:r>
      <w:r>
        <w:rPr>
          <w:rFonts w:hint="eastAsia" w:ascii="宋体" w:hAnsi="宋体" w:eastAsia="宋体" w:cs="Times New Roman"/>
          <w:kern w:val="0"/>
          <w:sz w:val="24"/>
          <w:szCs w:val="24"/>
          <w:u w:val="single"/>
        </w:rPr>
        <w:t>(盖章）</w:t>
      </w:r>
    </w:p>
    <w:p>
      <w:pPr>
        <w:widowControl/>
        <w:overflowPunct w:val="0"/>
        <w:autoSpaceDE w:val="0"/>
        <w:autoSpaceDN w:val="0"/>
        <w:adjustRightInd w:val="0"/>
        <w:spacing w:line="360" w:lineRule="auto"/>
        <w:ind w:left="1" w:firstLine="2736" w:firstLineChars="114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 xml:space="preserve">法定代表人（负责人）： </w:t>
      </w:r>
      <w:r>
        <w:rPr>
          <w:rFonts w:hint="eastAsia" w:ascii="宋体" w:hAnsi="宋体" w:eastAsia="宋体" w:cs="Times New Roman"/>
          <w:kern w:val="0"/>
          <w:sz w:val="24"/>
          <w:szCs w:val="24"/>
          <w:u w:val="single"/>
        </w:rPr>
        <w:t>（签字或盖章）</w:t>
      </w:r>
    </w:p>
    <w:p>
      <w:pPr>
        <w:widowControl/>
        <w:overflowPunct w:val="0"/>
        <w:autoSpaceDE w:val="0"/>
        <w:autoSpaceDN w:val="0"/>
        <w:adjustRightInd w:val="0"/>
        <w:spacing w:line="360" w:lineRule="auto"/>
        <w:ind w:right="1080"/>
        <w:jc w:val="right"/>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授权委托日期：</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 xml:space="preserve">年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w:t>
      </w:r>
    </w:p>
    <w:tbl>
      <w:tblPr>
        <w:tblStyle w:val="14"/>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trPr>
        <w:tc>
          <w:tcPr>
            <w:tcW w:w="9831" w:type="dxa"/>
          </w:tcPr>
          <w:p>
            <w:pPr>
              <w:pStyle w:val="6"/>
              <w:spacing w:line="440" w:lineRule="atLeast"/>
              <w:jc w:val="center"/>
              <w:rPr>
                <w:rFonts w:hAnsi="宋体" w:eastAsia="宋体"/>
                <w:color w:val="auto"/>
                <w:sz w:val="36"/>
              </w:rPr>
            </w:pPr>
          </w:p>
          <w:p>
            <w:pPr>
              <w:pStyle w:val="6"/>
              <w:spacing w:line="440" w:lineRule="atLeast"/>
              <w:jc w:val="center"/>
              <w:rPr>
                <w:rFonts w:hAnsi="宋体" w:eastAsia="宋体"/>
                <w:color w:val="auto"/>
                <w:sz w:val="36"/>
              </w:rPr>
            </w:pPr>
          </w:p>
          <w:p>
            <w:pPr>
              <w:pStyle w:val="6"/>
              <w:spacing w:line="440" w:lineRule="atLeast"/>
              <w:jc w:val="center"/>
              <w:rPr>
                <w:rFonts w:hAnsi="宋体" w:eastAsia="宋体"/>
                <w:color w:val="auto"/>
                <w:sz w:val="36"/>
              </w:rPr>
            </w:pPr>
            <w:r>
              <w:rPr>
                <w:rFonts w:hint="eastAsia" w:hAnsi="宋体" w:eastAsia="宋体"/>
                <w:color w:val="auto"/>
                <w:sz w:val="36"/>
              </w:rPr>
              <w:t>（授权代表身份证复印件或影印件）</w:t>
            </w:r>
          </w:p>
          <w:p>
            <w:pPr>
              <w:rPr>
                <w:sz w:val="44"/>
                <w:szCs w:val="44"/>
              </w:rPr>
            </w:pPr>
          </w:p>
        </w:tc>
      </w:tr>
    </w:tbl>
    <w:p>
      <w:pPr>
        <w:rPr>
          <w:sz w:val="44"/>
          <w:szCs w:val="44"/>
        </w:rPr>
      </w:pPr>
    </w:p>
    <w:sectPr>
      <w:footerReference r:id="rId3" w:type="default"/>
      <w:pgSz w:w="11906" w:h="16838"/>
      <w:pgMar w:top="1440" w:right="991" w:bottom="1440" w:left="1276"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8968235"/>
    </w:sdtPr>
    <w:sdtContent>
      <w:p>
        <w:pPr>
          <w:pStyle w:val="8"/>
          <w:jc w:val="center"/>
        </w:pPr>
        <w:r>
          <w:fldChar w:fldCharType="begin"/>
        </w:r>
        <w:r>
          <w:instrText xml:space="preserve">PAGE   \* MERGEFORMAT</w:instrText>
        </w:r>
        <w:r>
          <w:fldChar w:fldCharType="separate"/>
        </w:r>
        <w:r>
          <w:rPr>
            <w:lang w:val="zh-CN"/>
          </w:rPr>
          <w:t>19</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B28E9B"/>
    <w:multiLevelType w:val="singleLevel"/>
    <w:tmpl w:val="6FB28E9B"/>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NzQ0ODQ1MTRmYzgzMTc1NjY2NjUwZGI4NDY5ODQifQ=="/>
  </w:docVars>
  <w:rsids>
    <w:rsidRoot w:val="005A1BFC"/>
    <w:rsid w:val="0006417B"/>
    <w:rsid w:val="000C6F87"/>
    <w:rsid w:val="000E08FE"/>
    <w:rsid w:val="00101C82"/>
    <w:rsid w:val="0011766D"/>
    <w:rsid w:val="001219A2"/>
    <w:rsid w:val="001445B7"/>
    <w:rsid w:val="001676F1"/>
    <w:rsid w:val="00193D50"/>
    <w:rsid w:val="001B5382"/>
    <w:rsid w:val="001F69C3"/>
    <w:rsid w:val="00264A51"/>
    <w:rsid w:val="00296776"/>
    <w:rsid w:val="002A32A8"/>
    <w:rsid w:val="002B219E"/>
    <w:rsid w:val="002C5CDC"/>
    <w:rsid w:val="00351610"/>
    <w:rsid w:val="00391D5D"/>
    <w:rsid w:val="003A192B"/>
    <w:rsid w:val="003D586A"/>
    <w:rsid w:val="00443109"/>
    <w:rsid w:val="0044631A"/>
    <w:rsid w:val="004568B7"/>
    <w:rsid w:val="004B7B3D"/>
    <w:rsid w:val="004E18A1"/>
    <w:rsid w:val="004F19BE"/>
    <w:rsid w:val="004F4E9B"/>
    <w:rsid w:val="004F60C4"/>
    <w:rsid w:val="004F6CFA"/>
    <w:rsid w:val="00561E0D"/>
    <w:rsid w:val="005A1BFC"/>
    <w:rsid w:val="005B162F"/>
    <w:rsid w:val="005E30C6"/>
    <w:rsid w:val="005E77F0"/>
    <w:rsid w:val="0068717D"/>
    <w:rsid w:val="00695623"/>
    <w:rsid w:val="006D47FF"/>
    <w:rsid w:val="006E0FAD"/>
    <w:rsid w:val="00705C94"/>
    <w:rsid w:val="007277A6"/>
    <w:rsid w:val="007C1271"/>
    <w:rsid w:val="007C5AAE"/>
    <w:rsid w:val="00844F52"/>
    <w:rsid w:val="00876928"/>
    <w:rsid w:val="00883490"/>
    <w:rsid w:val="00904AE2"/>
    <w:rsid w:val="00946C65"/>
    <w:rsid w:val="00973855"/>
    <w:rsid w:val="00982FF6"/>
    <w:rsid w:val="009D0C60"/>
    <w:rsid w:val="00A04BED"/>
    <w:rsid w:val="00A41384"/>
    <w:rsid w:val="00AB1EA9"/>
    <w:rsid w:val="00AB2821"/>
    <w:rsid w:val="00AF5B93"/>
    <w:rsid w:val="00B204EB"/>
    <w:rsid w:val="00BE2766"/>
    <w:rsid w:val="00BF6131"/>
    <w:rsid w:val="00C20370"/>
    <w:rsid w:val="00CD3289"/>
    <w:rsid w:val="00CE1751"/>
    <w:rsid w:val="00CF7F60"/>
    <w:rsid w:val="00D157CA"/>
    <w:rsid w:val="00E61CD0"/>
    <w:rsid w:val="00EA0659"/>
    <w:rsid w:val="00EE4A8C"/>
    <w:rsid w:val="00F527FF"/>
    <w:rsid w:val="00F537E0"/>
    <w:rsid w:val="00F965C6"/>
    <w:rsid w:val="00FA2B53"/>
    <w:rsid w:val="00FF56EE"/>
    <w:rsid w:val="02210690"/>
    <w:rsid w:val="04174E45"/>
    <w:rsid w:val="0643524F"/>
    <w:rsid w:val="06BC318E"/>
    <w:rsid w:val="06D24FC1"/>
    <w:rsid w:val="07D812F1"/>
    <w:rsid w:val="0AA45B99"/>
    <w:rsid w:val="0D8D4FCD"/>
    <w:rsid w:val="0EDA01BC"/>
    <w:rsid w:val="12F31639"/>
    <w:rsid w:val="13867FE7"/>
    <w:rsid w:val="15BE0F83"/>
    <w:rsid w:val="181B36FF"/>
    <w:rsid w:val="1A4A48E5"/>
    <w:rsid w:val="1CFF7AE7"/>
    <w:rsid w:val="1E996908"/>
    <w:rsid w:val="22E07291"/>
    <w:rsid w:val="28A52E34"/>
    <w:rsid w:val="2ADD6DC6"/>
    <w:rsid w:val="32F6612C"/>
    <w:rsid w:val="390059EE"/>
    <w:rsid w:val="391A308C"/>
    <w:rsid w:val="39F60EF1"/>
    <w:rsid w:val="3A193254"/>
    <w:rsid w:val="3A985492"/>
    <w:rsid w:val="3C6E2891"/>
    <w:rsid w:val="3D7811A1"/>
    <w:rsid w:val="3E7C255A"/>
    <w:rsid w:val="3F3656F4"/>
    <w:rsid w:val="436117D0"/>
    <w:rsid w:val="46877F4E"/>
    <w:rsid w:val="4C421928"/>
    <w:rsid w:val="4C78628A"/>
    <w:rsid w:val="4F787C60"/>
    <w:rsid w:val="50C43F42"/>
    <w:rsid w:val="56517E0F"/>
    <w:rsid w:val="582B4B28"/>
    <w:rsid w:val="58536FF6"/>
    <w:rsid w:val="58CC2CF6"/>
    <w:rsid w:val="593B5776"/>
    <w:rsid w:val="597B5464"/>
    <w:rsid w:val="5C5D67DA"/>
    <w:rsid w:val="5D3C13B8"/>
    <w:rsid w:val="61092C5D"/>
    <w:rsid w:val="62752EDF"/>
    <w:rsid w:val="6A9C0666"/>
    <w:rsid w:val="6D7F3985"/>
    <w:rsid w:val="716F0FDD"/>
    <w:rsid w:val="7310652B"/>
    <w:rsid w:val="74AA36A8"/>
    <w:rsid w:val="755C4F21"/>
    <w:rsid w:val="784037EB"/>
    <w:rsid w:val="78D565C2"/>
    <w:rsid w:val="7B1A7CDC"/>
    <w:rsid w:val="7BDB5529"/>
    <w:rsid w:val="FB5FE955"/>
    <w:rsid w:val="FFEFB8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2"/>
    <w:qFormat/>
    <w:uiPriority w:val="0"/>
    <w:pPr>
      <w:spacing w:after="120"/>
    </w:pPr>
  </w:style>
  <w:style w:type="paragraph" w:styleId="4">
    <w:name w:val="toc 6"/>
    <w:basedOn w:val="1"/>
    <w:next w:val="1"/>
    <w:semiHidden/>
    <w:qFormat/>
    <w:uiPriority w:val="0"/>
    <w:pPr>
      <w:ind w:left="1050"/>
      <w:jc w:val="left"/>
    </w:pPr>
    <w:rPr>
      <w:sz w:val="18"/>
      <w:szCs w:val="18"/>
    </w:rPr>
  </w:style>
  <w:style w:type="paragraph" w:styleId="5">
    <w:name w:val="annotation text"/>
    <w:basedOn w:val="1"/>
    <w:semiHidden/>
    <w:unhideWhenUsed/>
    <w:qFormat/>
    <w:uiPriority w:val="99"/>
    <w:pPr>
      <w:jc w:val="left"/>
    </w:pPr>
  </w:style>
  <w:style w:type="paragraph" w:styleId="6">
    <w:name w:val="Plain Text"/>
    <w:basedOn w:val="1"/>
    <w:link w:val="22"/>
    <w:qFormat/>
    <w:uiPriority w:val="0"/>
    <w:rPr>
      <w:rFonts w:ascii="宋体" w:hAnsi="Courier New" w:eastAsia="仿宋_GB2312" w:cs="Times New Roman"/>
      <w:b/>
      <w:bCs/>
      <w:color w:val="000000"/>
      <w:kern w:val="0"/>
      <w:szCs w:val="20"/>
    </w:rPr>
  </w:style>
  <w:style w:type="paragraph" w:styleId="7">
    <w:name w:val="Balloon Text"/>
    <w:basedOn w:val="1"/>
    <w:link w:val="25"/>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semiHidden/>
    <w:unhideWhenUsed/>
    <w:qFormat/>
    <w:uiPriority w:val="99"/>
    <w:pPr>
      <w:spacing w:beforeAutospacing="1" w:afterAutospacing="1"/>
      <w:jc w:val="left"/>
    </w:pPr>
    <w:rPr>
      <w:rFonts w:cs="Times New Roman"/>
      <w:kern w:val="0"/>
      <w:sz w:val="24"/>
    </w:rPr>
  </w:style>
  <w:style w:type="paragraph" w:styleId="12">
    <w:name w:val="Title"/>
    <w:basedOn w:val="1"/>
    <w:next w:val="1"/>
    <w:qFormat/>
    <w:uiPriority w:val="10"/>
    <w:pPr>
      <w:spacing w:before="240" w:after="60"/>
      <w:jc w:val="center"/>
      <w:outlineLvl w:val="0"/>
    </w:pPr>
    <w:rPr>
      <w:rFonts w:ascii="Cambria" w:hAnsi="Cambria"/>
      <w:b/>
      <w:bCs/>
      <w:sz w:val="32"/>
      <w:szCs w:val="32"/>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semiHidden/>
    <w:unhideWhenUsed/>
    <w:qFormat/>
    <w:uiPriority w:val="99"/>
    <w:rPr>
      <w:color w:val="333333"/>
      <w:u w:val="none"/>
    </w:rPr>
  </w:style>
  <w:style w:type="character" w:styleId="17">
    <w:name w:val="Hyperlink"/>
    <w:basedOn w:val="15"/>
    <w:semiHidden/>
    <w:unhideWhenUsed/>
    <w:qFormat/>
    <w:uiPriority w:val="99"/>
    <w:rPr>
      <w:color w:val="0000FF"/>
      <w:u w:val="single"/>
    </w:rPr>
  </w:style>
  <w:style w:type="character" w:customStyle="1" w:styleId="18">
    <w:name w:val="bsharetext"/>
    <w:basedOn w:val="15"/>
    <w:qFormat/>
    <w:uiPriority w:val="0"/>
  </w:style>
  <w:style w:type="character" w:customStyle="1" w:styleId="19">
    <w:name w:val="state2"/>
    <w:basedOn w:val="15"/>
    <w:qFormat/>
    <w:uiPriority w:val="0"/>
  </w:style>
  <w:style w:type="character" w:customStyle="1" w:styleId="20">
    <w:name w:val="页眉 Char"/>
    <w:basedOn w:val="15"/>
    <w:link w:val="9"/>
    <w:qFormat/>
    <w:uiPriority w:val="99"/>
    <w:rPr>
      <w:rFonts w:asciiTheme="minorHAnsi" w:hAnsiTheme="minorHAnsi" w:eastAsiaTheme="minorEastAsia" w:cstheme="minorBidi"/>
      <w:kern w:val="2"/>
      <w:sz w:val="18"/>
      <w:szCs w:val="18"/>
    </w:rPr>
  </w:style>
  <w:style w:type="character" w:customStyle="1" w:styleId="21">
    <w:name w:val="页脚 Char"/>
    <w:basedOn w:val="15"/>
    <w:link w:val="8"/>
    <w:qFormat/>
    <w:uiPriority w:val="99"/>
    <w:rPr>
      <w:rFonts w:asciiTheme="minorHAnsi" w:hAnsiTheme="minorHAnsi" w:eastAsiaTheme="minorEastAsia" w:cstheme="minorBidi"/>
      <w:kern w:val="2"/>
      <w:sz w:val="18"/>
      <w:szCs w:val="18"/>
    </w:rPr>
  </w:style>
  <w:style w:type="character" w:customStyle="1" w:styleId="22">
    <w:name w:val="纯文本 Char"/>
    <w:basedOn w:val="15"/>
    <w:link w:val="6"/>
    <w:qFormat/>
    <w:uiPriority w:val="0"/>
    <w:rPr>
      <w:rFonts w:ascii="宋体" w:hAnsi="Courier New" w:eastAsia="仿宋_GB2312"/>
      <w:b/>
      <w:bCs/>
      <w:color w:val="000000"/>
      <w:sz w:val="21"/>
    </w:rPr>
  </w:style>
  <w:style w:type="character" w:customStyle="1" w:styleId="23">
    <w:name w:val="text-tag"/>
    <w:basedOn w:val="15"/>
    <w:qFormat/>
    <w:uiPriority w:val="0"/>
  </w:style>
  <w:style w:type="paragraph" w:styleId="24">
    <w:name w:val="List Paragraph"/>
    <w:basedOn w:val="1"/>
    <w:unhideWhenUsed/>
    <w:qFormat/>
    <w:uiPriority w:val="99"/>
    <w:pPr>
      <w:ind w:firstLine="420" w:firstLineChars="200"/>
    </w:pPr>
  </w:style>
  <w:style w:type="character" w:customStyle="1" w:styleId="25">
    <w:name w:val="批注框文本 Char"/>
    <w:basedOn w:val="15"/>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1316</Words>
  <Characters>7507</Characters>
  <Lines>62</Lines>
  <Paragraphs>17</Paragraphs>
  <TotalTime>92</TotalTime>
  <ScaleCrop>false</ScaleCrop>
  <LinksUpToDate>false</LinksUpToDate>
  <CharactersWithSpaces>8806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2022-02-24T14:32:00Z</dcterms:created>
  <dc:creator>NTKO</dc:creator>
  <cp:lastModifiedBy>L450</cp:lastModifiedBy>
  <dcterms:modified xsi:type="dcterms:W3CDTF">2023-10-20T02:09:09Z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
  </property>
  <property fmtid="{D5CDD505-2E9C-101B-9397-08002B2CF9AE}" pid="3" name="woTemplate" linkTarget="0">
    <vt:i4>0</vt:i4>
  </property>
  <property fmtid="{D5CDD505-2E9C-101B-9397-08002B2CF9AE}" pid="4" name="KSOProductBuildVer">
    <vt:lpwstr>2052-12.1.0.15712</vt:lpwstr>
  </property>
  <property fmtid="{D5CDD505-2E9C-101B-9397-08002B2CF9AE}" pid="5" name="ICV">
    <vt:lpwstr>BA73B326D4E247298CE36170EE492869_13</vt:lpwstr>
  </property>
</Properties>
</file>